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承攬契約書</w:t>
      </w:r>
    </w:p>
    <w:p>
      <w:pPr>
        <w:spacing w:after="120" w:line="300"/>
        <w:jc w:val="center"/>
      </w:pPr>
      <w:r>
        <w:rPr>
          <w:rFonts w:ascii="微軟正黑體" w:cs="微軟正黑體" w:eastAsia="微軟正黑體" w:hAnsi="微軟正黑體"/>
          <w:color w:val="666666"/>
          <w:sz w:val="20"/>
          <w:szCs w:val="20"/>
        </w:rPr>
        <w:t xml:space="preserve">依民法第 490 條以下承攬之規定。重點在「完成工作」與「驗收」。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立契約書人：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定作人（甲方）：＿＿＿＿＿＿＿＿＿＿＿＿＿＿＿＿＿＿＿＿＿＿＿＿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承攬人（乙方）：＿＿＿＿＿＿＿＿＿＿＿＿＿＿＿＿＿＿＿＿＿＿＿＿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第一條　承攬工作內容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工作規格、數量及品質另以附件明定，附件為本契約之一部分。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第二條　工作期間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開工日：＿＿＿＿＿＿＿＿＿＿＿＿＿＿＿＿＿＿＿＿＿＿＿＿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完工日：＿＿＿＿＿＿＿＿＿＿＿＿＿＿＿＿＿＿＿＿＿＿＿＿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第三條　報酬及給付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報酬總額（新臺幣）：＿＿＿＿＿＿＿＿＿＿＿＿＿＿＿＿＿＿＿＿＿＿＿＿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給付方式：□ 簽約款　　% □ 期中款　　% □ 驗收款　　%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報酬應於工作交付時給付之；無須交付者，應於工作完成時給付之（民法第 505 條）。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第四條　驗收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乙方完成工作後應通知甲方驗收，甲方應於　　　日內完成驗收。逾期未表示意見者，視為驗收合格。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第五條　瑕疵擔保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一、工作有瑕疵者，甲方得定相當期限請求乙方修補（民法第 493 條）。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二、乙方不於期限內修補，或拒絕修補，或其瑕疵不能修補者，甲方得解除契約或請求減少報酬（民法第 494 條）。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三、瑕疵擔保期間：自工作交付後　　　年內（民法第 498 條至第 501 條，工作為建築物或其他土地上之工作物者為 5 年，故意不告知瑕疵者延長為 10 年）。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第六條　遲延責任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乙方未依約完成工作者，每逾一日應給付甲方違約金新臺幣　　　元，總額以報酬總額之　　% 為上限。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因不可歸責於乙方之事由致工期延誤者，工期順延，乙方不負遲延責任。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第七條　材料與費用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由乙方提供材料　□ 由甲方提供材料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（材料由承攬人供給者，其材料之價額推定為報酬之一部——民法第 490 條第 2 項）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第八條　智慧財產權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工作成果之著作財產權歸屬：□ 甲方　□ 乙方　□ 共有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第九條　準據法與管轄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本契約以中華民國法律為準據法，合意以　　　　地方法院為第一審管轄法院。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甲方（簽章）：＿＿＿＿＿＿＿＿＿＿＿＿＿＿＿＿＿＿＿＿＿＿＿＿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乙方（簽章）：＿＿＿＿＿＿＿＿＿＿＿＿＿＿＿＿＿＿＿＿＿＿＿＿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中華民國　　年　　月　　日：＿＿＿＿＿＿＿＿＿＿＿＿＿＿＿＿＿＿＿＿＿＿＿＿</w:t>
      </w:r>
    </w:p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承攬契約書</dc:title>
  <dc:creator>簡報雲PPT</dc:creator>
  <dc:description>以完成一定工作為目的的契約，含驗收、瑕疵擔保與遲延罰則</dc:description>
  <cp:lastModifiedBy>Un-named</cp:lastModifiedBy>
  <cp:revision>1</cp:revision>
  <dcterms:created xsi:type="dcterms:W3CDTF">2026-09-03T17:40:09.818Z</dcterms:created>
  <dcterms:modified xsi:type="dcterms:W3CDTF">2026-09-03T17:40:09.818Z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