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服務委任契約書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依民法第 528 條以下委任之規定。若以完成一定工作為目的，宜改用承攬契約。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立契約書人：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委任人（甲方）：＿＿＿＿＿＿＿＿＿＿＿＿＿＿＿＿＿＿＿＿＿＿＿＿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受任人（乙方）：＿＿＿＿＿＿＿＿＿＿＿＿＿＿＿＿＿＿＿＿＿＿＿＿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第一條　委任事務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甲方委任乙方處理下列事務，乙方允為處理：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：＿＿＿＿＿＿＿＿＿＿＿＿＿＿＿＿＿＿＿＿＿＿＿＿＿＿＿＿＿＿＿＿＿＿＿＿＿＿＿＿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第二條　委任期間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自　　年　　月　　日起至　　年　　月　　日止：＿＿＿＿＿＿＿＿＿＿＿＿＿＿＿＿＿＿＿＿＿＿＿＿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第三條　報酬及給付方式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報酬總額（新臺幣）：＿＿＿＿＿＿＿＿＿＿＿＿＿＿＿＿＿＿＿＿＿＿＿＿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給付方式：□ 一次給付　□ 分期給付（　　期）　□ 按月給付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給付時點：＿＿＿＿＿＿＿＿＿＿＿＿＿＿＿＿＿＿＿＿＿＿＿＿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乙方處理委任事務所支出之必要費用，經甲方事前同意者，由甲方負擔。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第四條　乙方之義務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一、乙方應以善良管理人之注意處理委任事務（民法第 535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二、乙方應將委任事務進行之狀況報告甲方；委任關係終止時，應明確報告其顛末（民法第 540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三、乙方因處理委任事務所收取之金錢、物品及孳息，應交付於甲方（民法第 541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四、非經甲方同意，乙方不得使第三人代為處理委任事務（民法第 537 條）。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第五條　甲方之義務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甲方應提供處理委任事務所必要之資料與協助，並依約給付報酬。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第六條　保密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雙方對因本契約知悉之他方營業秘密及非公開資訊，負保密義務，於契約終止後仍繼續有效。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第七條　智慧財產權歸屬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乙方因執行本契約所完成之工作成果，其著作財產權歸屬：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□ 甲方　□ 乙方　□ 雙方共有（比例：　　　）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（依著作權法第 12 條，出資聘人完成之著作，未約定者以受聘人為著作人；著作財產權未約定者歸受聘人享有，出資人得利用該著作。）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第八條　契約終止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當事人之任何一方得隨時終止委任契約。但於不利於他方之時期終止契約者，應負損害賠償責任（民法第 549 條）。終止應於　　　日前以書面通知他方。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第九條　準據法與管轄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本契約以中華民國法律為準據法，合意以　　　　地方法院為第一審管轄法院。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甲方（簽章）：＿＿＿＿＿＿＿＿＿＿＿＿＿＿＿＿＿＿＿＿＿＿＿＿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乙方（簽章）：＿＿＿＿＿＿＿＿＿＿＿＿＿＿＿＿＿＿＿＿＿＿＿＿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本範本依中華民國現行法規整理，僅供參考之用。實際條件請依雙方約定，委任與承攬之性質不同（前者重過程、後者重結果），正式簽署前建議諮詢律師或勞資顧問。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服務委任契約書</dc:title>
  <dc:creator>簡報雲PPT</dc:creator>
  <dc:description>委任他方處理事務的契約，適用顧問、代辦、專業服務</dc:description>
  <cp:lastModifiedBy>Un-named</cp:lastModifiedBy>
  <cp:revision>1</cp:revision>
  <dcterms:created xsi:type="dcterms:W3CDTF">2026-09-03T17:40:09.800Z</dcterms:created>
  <dcterms:modified xsi:type="dcterms:W3CDTF">2026-09-03T17:40:09.800Z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