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ind w:hanging="0" w:start="0"/>
        <w:rPr/>
      </w:pPr>
      <w:bookmarkStart w:id="1" w:name="__RefHeading___Toc201372208"/>
      <w:bookmarkEnd w:id="1"/>
      <w:r>
        <w:rPr>
          <w:rFonts w:hint="eastAsia"/>
        </w:rPr>
        <w:t>（一）品質管理部的工作職責</w:t>
      </w:r>
    </w:p>
    <w:p>
      <w:pPr>
        <w:pStyle w:val="Normal"/>
        <w:spacing w:lineRule="auto" w:line="360"/>
        <w:jc w:val="center"/>
        <w:rPr>
          <w:rFonts w:hint="eastAsia"/>
          <w:b/>
          <w:sz w:val="18"/>
        </w:rPr>
      </w:pPr>
      <w:r>
        <w:rPr>
          <w:rFonts w:hint="eastAsia"/>
          <w:b/>
          <w:sz w:val="18"/>
        </w:rPr>
        <w:t>品質管理部工作職責一覽表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58"/>
        <w:gridCol w:w="5439"/>
        <w:gridCol w:w="1009"/>
      </w:tblGrid>
      <w:tr>
        <w:trPr/>
        <w:tc>
          <w:tcPr>
            <w:tcW w:w="1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品質管理部工作職責</w:t>
            </w:r>
          </w:p>
        </w:tc>
        <w:tc>
          <w:tcPr>
            <w:tcW w:w="54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職責細分</w:t>
            </w:r>
          </w:p>
        </w:tc>
        <w:tc>
          <w:tcPr>
            <w:tcW w:w="10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備註</w:t>
            </w:r>
          </w:p>
        </w:tc>
      </w:tr>
      <w:tr>
        <w:trPr/>
        <w:tc>
          <w:tcPr>
            <w:tcW w:w="1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．品質管理組織建設</w:t>
            </w:r>
          </w:p>
        </w:tc>
        <w:tc>
          <w:tcPr>
            <w:tcW w:w="54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（1）設計或完善企業品質管理部的組織結構</w:t>
            </w:r>
          </w:p>
          <w:p>
            <w:pPr>
              <w:pStyle w:val="Normal"/>
              <w:spacing w:lineRule="auto" w:line="36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（2）建立有關品質組織（品質活動小組、品質管理評審小組等）</w:t>
            </w:r>
          </w:p>
        </w:tc>
        <w:tc>
          <w:tcPr>
            <w:tcW w:w="10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需要人力資源部的協助</w:t>
            </w:r>
          </w:p>
        </w:tc>
      </w:tr>
      <w:tr>
        <w:trPr/>
        <w:tc>
          <w:tcPr>
            <w:tcW w:w="1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2．品質管理制度建設</w:t>
            </w:r>
          </w:p>
        </w:tc>
        <w:tc>
          <w:tcPr>
            <w:tcW w:w="54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（1）制定品質方針，確定品質管理目標並制定管理目標責任制</w:t>
            </w:r>
          </w:p>
          <w:p>
            <w:pPr>
              <w:pStyle w:val="Normal"/>
              <w:spacing w:lineRule="auto" w:line="36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（2）編制、修訂、完善企業內部各項品質管理制度</w:t>
            </w:r>
          </w:p>
          <w:p>
            <w:pPr>
              <w:pStyle w:val="Normal"/>
              <w:spacing w:lineRule="auto" w:line="36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（3）監督各項品質管理制度的執行情況</w:t>
            </w:r>
          </w:p>
        </w:tc>
        <w:tc>
          <w:tcPr>
            <w:tcW w:w="10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需要行政部的協助</w:t>
            </w:r>
          </w:p>
        </w:tc>
      </w:tr>
      <w:tr>
        <w:trPr/>
        <w:tc>
          <w:tcPr>
            <w:tcW w:w="1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3．品質計劃管理</w:t>
            </w:r>
          </w:p>
        </w:tc>
        <w:tc>
          <w:tcPr>
            <w:tcW w:w="54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（1）制訂年度品質工作計劃，並將計劃分配、落實至相關人員</w:t>
            </w:r>
          </w:p>
          <w:p>
            <w:pPr>
              <w:pStyle w:val="Normal"/>
              <w:spacing w:lineRule="auto" w:line="36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（2）</w:t>
            </w:r>
            <w:r>
              <w:rPr>
                <w:sz w:val="18"/>
                <w:szCs w:val="21"/>
              </w:rPr>
              <w:t>建立和完善品質工作原始記錄、臺帳、統計報表</w:t>
            </w:r>
            <w:r>
              <w:rPr>
                <w:rFonts w:hint="eastAsia"/>
                <w:sz w:val="18"/>
                <w:szCs w:val="21"/>
              </w:rPr>
              <w:t>等品質文件</w:t>
            </w:r>
          </w:p>
          <w:p>
            <w:pPr>
              <w:pStyle w:val="Normal"/>
              <w:spacing w:lineRule="auto" w:line="36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（3</w:t>
            </w:r>
            <w:r>
              <w:rPr>
                <w:rFonts w:hint="eastAsia"/>
                <w:sz w:val="18"/>
              </w:rPr>
              <w:t>）</w:t>
            </w:r>
            <w:r>
              <w:rPr>
                <w:rFonts w:hint="eastAsia"/>
                <w:sz w:val="18"/>
                <w:szCs w:val="21"/>
              </w:rPr>
              <w:t>按期完成</w:t>
            </w:r>
            <w:r>
              <w:rPr>
                <w:sz w:val="18"/>
                <w:szCs w:val="21"/>
              </w:rPr>
              <w:t>年</w:t>
            </w:r>
            <w:r>
              <w:rPr>
                <w:rFonts w:hint="eastAsia"/>
                <w:sz w:val="18"/>
                <w:szCs w:val="21"/>
              </w:rPr>
              <w:t>度</w:t>
            </w:r>
            <w:r>
              <w:rPr>
                <w:sz w:val="18"/>
                <w:szCs w:val="21"/>
              </w:rPr>
              <w:t>、季</w:t>
            </w:r>
            <w:r>
              <w:rPr>
                <w:rFonts w:hint="eastAsia"/>
                <w:sz w:val="18"/>
                <w:szCs w:val="21"/>
              </w:rPr>
              <w:t>度</w:t>
            </w:r>
            <w:r>
              <w:rPr>
                <w:sz w:val="18"/>
                <w:szCs w:val="21"/>
              </w:rPr>
              <w:t>、月度品質統計工作</w:t>
            </w:r>
          </w:p>
        </w:tc>
        <w:tc>
          <w:tcPr>
            <w:tcW w:w="10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>
          <w:trHeight w:val="1384" w:hRule="atLeast"/>
        </w:trPr>
        <w:tc>
          <w:tcPr>
            <w:tcW w:w="1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rFonts w:hint="eastAsia"/>
                <w:sz w:val="18"/>
              </w:rPr>
              <w:t>．品質檢驗</w:t>
            </w:r>
          </w:p>
        </w:tc>
        <w:tc>
          <w:tcPr>
            <w:tcW w:w="54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（1）</w:t>
            </w:r>
            <w:r>
              <w:rPr>
                <w:rFonts w:hint="eastAsia"/>
                <w:sz w:val="18"/>
                <w:szCs w:val="21"/>
              </w:rPr>
              <w:t>組織實施對原材料、外協件、外購品、自制件的檢驗，以及對產品工序、成品的檢驗</w:t>
            </w:r>
          </w:p>
          <w:p>
            <w:pPr>
              <w:pStyle w:val="Normal"/>
              <w:spacing w:lineRule="auto" w:line="36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（2）組織開展製程巡迴檢驗工作，並進行製程品質的專題研究，以便提出製程品質改善、事故預防措施</w:t>
            </w:r>
          </w:p>
          <w:p>
            <w:pPr>
              <w:pStyle w:val="Normal"/>
              <w:spacing w:lineRule="auto" w:line="36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（3）</w:t>
            </w:r>
            <w:r>
              <w:rPr>
                <w:rFonts w:hint="eastAsia"/>
                <w:sz w:val="18"/>
                <w:szCs w:val="21"/>
              </w:rPr>
              <w:t>出具檢測報告，</w:t>
            </w:r>
            <w:r>
              <w:rPr>
                <w:rFonts w:hint="eastAsia"/>
                <w:sz w:val="18"/>
              </w:rPr>
              <w:t>對出廠產品的品質負全部責任</w:t>
            </w:r>
          </w:p>
        </w:tc>
        <w:tc>
          <w:tcPr>
            <w:tcW w:w="10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</w:r>
          </w:p>
        </w:tc>
      </w:tr>
      <w:tr>
        <w:trPr/>
        <w:tc>
          <w:tcPr>
            <w:tcW w:w="1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5．品質監控</w:t>
            </w:r>
          </w:p>
        </w:tc>
        <w:tc>
          <w:tcPr>
            <w:tcW w:w="54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（1）組織對生產現場或各下屬單位開展例行品質檢查工作，對生產過程工藝文件的執行情況進行監督</w:t>
            </w:r>
          </w:p>
          <w:p>
            <w:pPr>
              <w:pStyle w:val="Normal"/>
              <w:spacing w:lineRule="auto" w:line="36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（2）對生產製造過程中出現的品質問題進行妥善處理</w:t>
            </w:r>
          </w:p>
          <w:p>
            <w:pPr>
              <w:pStyle w:val="Normal"/>
              <w:spacing w:lineRule="auto" w:line="36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</w:rPr>
              <w:t>（3）</w:t>
            </w:r>
            <w:r>
              <w:rPr>
                <w:rFonts w:hint="eastAsia"/>
                <w:sz w:val="18"/>
                <w:szCs w:val="21"/>
              </w:rPr>
              <w:t>組織開展不合格品評審工作，針對品質問題組織制定矯正、預防和改進措施，並對措施的落實情況加以追蹤和驗證</w:t>
            </w:r>
          </w:p>
        </w:tc>
        <w:tc>
          <w:tcPr>
            <w:tcW w:w="10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</w:r>
          </w:p>
        </w:tc>
      </w:tr>
      <w:tr>
        <w:trPr/>
        <w:tc>
          <w:tcPr>
            <w:tcW w:w="18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6</w:t>
            </w:r>
            <w:r>
              <w:rPr>
                <w:rFonts w:hint="eastAsia"/>
                <w:sz w:val="18"/>
              </w:rPr>
              <w:t>．品質體系管理</w:t>
            </w:r>
          </w:p>
        </w:tc>
        <w:tc>
          <w:tcPr>
            <w:tcW w:w="54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（1）</w:t>
            </w:r>
            <w:r>
              <w:rPr>
                <w:sz w:val="18"/>
                <w:szCs w:val="21"/>
              </w:rPr>
              <w:t>建立</w:t>
            </w:r>
            <w:r>
              <w:rPr>
                <w:rFonts w:hint="eastAsia"/>
                <w:sz w:val="18"/>
                <w:szCs w:val="21"/>
              </w:rPr>
              <w:t>和</w:t>
            </w:r>
            <w:r>
              <w:rPr>
                <w:sz w:val="18"/>
                <w:szCs w:val="21"/>
              </w:rPr>
              <w:t>完善品質保證體系</w:t>
            </w:r>
            <w:r>
              <w:rPr>
                <w:rFonts w:hint="eastAsia"/>
                <w:sz w:val="18"/>
                <w:szCs w:val="21"/>
              </w:rPr>
              <w:t>，</w:t>
            </w:r>
            <w:r>
              <w:rPr>
                <w:rFonts w:hint="eastAsia"/>
                <w:sz w:val="18"/>
              </w:rPr>
              <w:t>執行各體系的品質管理規定</w:t>
            </w:r>
          </w:p>
          <w:p>
            <w:pPr>
              <w:pStyle w:val="Normal"/>
              <w:spacing w:lineRule="auto" w:line="36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（2）推行全面品質管理，並負責品質體系的認證、組織和推行工作</w:t>
            </w:r>
          </w:p>
        </w:tc>
        <w:tc>
          <w:tcPr>
            <w:tcW w:w="10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</w:r>
          </w:p>
        </w:tc>
      </w:tr>
    </w:tbl>
    <w:sectPr>
      <w:type w:val="nextPage"/>
      <w:pgSz w:w="11906" w:h="16838"/>
      <w:pgMar w:left="1800" w:right="1800" w:gutter="0" w:header="851" w:top="1440" w:footer="992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宋体">
    <w:altName w:val="SimSun"/>
    <w:charset w:val="86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pStyle w:val="Heading4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doNotExpandShiftReturn/>
    <w:adjustLineHeightInTable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eastAsia="zh-CN" w:bidi="ar-SA" w:val="en-US"/>
    </w:rPr>
  </w:style>
  <w:style w:type="paragraph" w:styleId="Heading1">
    <w:name w:val="heading 1"/>
    <w:basedOn w:val="Normal"/>
    <w:next w:val="Normal"/>
    <w:pPr>
      <w:keepNext w:val="true"/>
      <w:keepLines/>
      <w:numPr>
        <w:ilvl w:val="0"/>
        <w:numId w:val="1"/>
      </w:numPr>
      <w:spacing w:lineRule="auto" w:line="360" w:before="260" w:after="260"/>
      <w:outlineLvl w:val="0"/>
    </w:pPr>
    <w:rPr>
      <w:b/>
      <w:bCs/>
      <w:kern w:val="2"/>
      <w:sz w:val="36"/>
      <w:szCs w:val="36"/>
    </w:rPr>
  </w:style>
  <w:style w:type="paragraph" w:styleId="Heading2">
    <w:name w:val="heading 2"/>
    <w:basedOn w:val="Normal"/>
    <w:next w:val="Normal"/>
    <w:pPr>
      <w:keepNext w:val="true"/>
      <w:keepLines/>
      <w:numPr>
        <w:ilvl w:val="1"/>
        <w:numId w:val="1"/>
      </w:numPr>
      <w:spacing w:lineRule="auto" w:line="360" w:before="260" w:after="260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next w:val="Normal"/>
    <w:pPr>
      <w:keepNext w:val="true"/>
      <w:keepLines/>
      <w:numPr>
        <w:ilvl w:val="2"/>
        <w:numId w:val="1"/>
      </w:numPr>
      <w:spacing w:lineRule="auto" w:line="360" w:before="260" w:after="2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 w:val="true"/>
      <w:keepLines/>
      <w:numPr>
        <w:ilvl w:val="3"/>
        <w:numId w:val="1"/>
      </w:numPr>
      <w:spacing w:lineRule="auto" w:line="360"/>
      <w:ind w:firstLineChars="200" w:startChars="0" w:start="0" w:endChars="0" w:end="0"/>
      <w:outlineLvl w:val="3"/>
    </w:pPr>
    <w:rPr>
      <w:b/>
      <w:bCs/>
      <w:szCs w:val="21"/>
    </w:rPr>
  </w:style>
  <w:style w:type="character" w:styleId="WW8Num5z0">
    <w:name w:val="WW8Num5z0"/>
    <w:rPr>
      <w:rFonts w:ascii="Wingdings" w:hAnsi="Wingdings" w:cs="Wingdings"/>
    </w:rPr>
  </w:style>
  <w:style w:type="character" w:styleId="WW8Num6z0">
    <w:name w:val="WW8Num6z0"/>
    <w:rPr>
      <w:rFonts w:ascii="Wingdings" w:hAnsi="Wingdings" w:cs="Wingdings"/>
    </w:rPr>
  </w:style>
  <w:style w:type="character" w:styleId="WW8Num7z0">
    <w:name w:val="WW8Num7z0"/>
    <w:rPr>
      <w:rFonts w:ascii="Wingdings" w:hAnsi="Wingdings" w:cs="Wingdings"/>
    </w:rPr>
  </w:style>
  <w:style w:type="character" w:styleId="WW8Num8z0">
    <w:name w:val="WW8Num8z0"/>
    <w:rPr>
      <w:rFonts w:ascii="Wingdings" w:hAnsi="Wingdings" w:cs="Wingdings"/>
    </w:rPr>
  </w:style>
  <w:style w:type="character" w:styleId="WW8Num10z0">
    <w:name w:val="WW8Num10z0"/>
    <w:rPr>
      <w:rFonts w:ascii="Wingdings" w:hAnsi="Wingdings" w:cs="Wingdings"/>
    </w:rPr>
  </w:style>
  <w:style w:type="character" w:styleId="WW8Num11z0">
    <w:name w:val="WW8Num11z0"/>
    <w:rPr>
      <w:rFonts w:hint="eastAsia"/>
    </w:rPr>
  </w:style>
  <w:style w:type="character" w:styleId="WW8Num12z0">
    <w:name w:val="WW8Num12z0"/>
    <w:rPr/>
  </w:style>
  <w:style w:type="character" w:styleId="WW8Num13z0">
    <w:name w:val="WW8Num13z0"/>
    <w:rPr>
      <w:rFonts w:ascii="Wingdings" w:hAnsi="Wingdings" w:cs="Wingdings"/>
      <w:color w:val="000000"/>
      <w:sz w:val="24"/>
      <w:szCs w:val="24"/>
    </w:rPr>
  </w:style>
  <w:style w:type="character" w:styleId="WW8Num13z1">
    <w:name w:val="WW8Num13z1"/>
    <w:rPr>
      <w:rFonts w:ascii="Wingdings" w:hAnsi="Wingdings" w:cs="Wingdings"/>
    </w:rPr>
  </w:style>
  <w:style w:type="character" w:styleId="WW8Num14z0">
    <w:name w:val="WW8Num14z0"/>
    <w:rPr/>
  </w:style>
  <w:style w:type="character" w:styleId="WW8Num15z0">
    <w:name w:val="WW8Num15z0"/>
    <w:rPr/>
  </w:style>
  <w:style w:type="character" w:styleId="WW8Num16z0">
    <w:name w:val="WW8Num16z0"/>
    <w:rPr/>
  </w:style>
  <w:style w:type="character" w:styleId="WW8Num17z0">
    <w:name w:val="WW8Num17z0"/>
    <w:rPr>
      <w:rFonts w:hint="eastAsia"/>
    </w:rPr>
  </w:style>
  <w:style w:type="character" w:styleId="WW8Num18z0">
    <w:name w:val="WW8Num18z0"/>
    <w:rPr>
      <w:rFonts w:hint="eastAsia"/>
    </w:rPr>
  </w:style>
  <w:style w:type="character" w:styleId="Style10">
    <w:name w:val="默认段落字体"/>
    <w:rPr/>
  </w:style>
  <w:style w:type="character" w:styleId="CharChar2">
    <w:name w:val=" Char Char2"/>
    <w:basedOn w:val="Style10"/>
    <w:rPr>
      <w:rFonts w:eastAsia="宋体;SimSun"/>
      <w:b/>
      <w:bCs/>
      <w:kern w:val="2"/>
      <w:sz w:val="30"/>
      <w:szCs w:val="30"/>
      <w:lang w:eastAsia="zh-CN" w:bidi="ar-SA"/>
    </w:rPr>
  </w:style>
  <w:style w:type="character" w:styleId="CharChar1">
    <w:name w:val=" Char Char1"/>
    <w:basedOn w:val="Style10"/>
    <w:rPr>
      <w:rFonts w:eastAsia="宋体;SimSun"/>
      <w:b/>
      <w:bCs/>
      <w:kern w:val="2"/>
      <w:sz w:val="28"/>
      <w:szCs w:val="28"/>
      <w:lang w:eastAsia="zh-CN" w:bidi="ar-SA"/>
    </w:rPr>
  </w:style>
  <w:style w:type="character" w:styleId="CharChar">
    <w:name w:val=" Char Char"/>
    <w:basedOn w:val="Style10"/>
    <w:rPr>
      <w:rFonts w:eastAsia="宋体;SimSun"/>
      <w:b/>
      <w:bCs/>
      <w:kern w:val="2"/>
      <w:sz w:val="21"/>
      <w:szCs w:val="21"/>
      <w:lang w:eastAsia="zh-CN" w:bidi="ar-SA"/>
    </w:rPr>
  </w:style>
  <w:style w:type="character" w:styleId="Hyperlink">
    <w:name w:val="Hyperlink"/>
    <w:basedOn w:val="Style10"/>
    <w:rPr>
      <w:color w:val="0000FF"/>
      <w:u w:val="single"/>
    </w:rPr>
  </w:style>
  <w:style w:type="character" w:styleId="PageNumber">
    <w:name w:val="page number"/>
    <w:basedOn w:val="Style10"/>
    <w:rPr/>
  </w:style>
  <w:style w:type="character" w:styleId="Style11">
    <w:name w:val="索引連結"/>
    <w:rPr/>
  </w:style>
  <w:style w:type="paragraph" w:styleId="Style12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3">
    <w:name w:val="索引"/>
    <w:basedOn w:val="Normal"/>
    <w:pPr>
      <w:suppressLineNumbers/>
    </w:pPr>
    <w:rPr>
      <w:rFonts w:cs="Lucida Sans"/>
    </w:rPr>
  </w:style>
  <w:style w:type="paragraph" w:styleId="Style14">
    <w:name w:val="文档结构图"/>
    <w:basedOn w:val="Normal"/>
    <w:pPr>
      <w:shd w:fill="000080" w:val="clear"/>
    </w:pPr>
    <w:rPr/>
  </w:style>
  <w:style w:type="paragraph" w:styleId="TOC1">
    <w:name w:val="toc 1"/>
    <w:basedOn w:val="Normal"/>
    <w:next w:val="Normal"/>
    <w:pPr>
      <w:tabs>
        <w:tab w:val="clear" w:pos="420"/>
        <w:tab w:val="right" w:pos="8296" w:leader="dot"/>
      </w:tabs>
    </w:pPr>
    <w:rPr>
      <w:b/>
      <w:szCs w:val="21"/>
      <w:lang w:val="zh-TW" w:eastAsia="zh-TW"/>
    </w:rPr>
  </w:style>
  <w:style w:type="paragraph" w:styleId="TOC2">
    <w:name w:val="toc 2"/>
    <w:basedOn w:val="Normal"/>
    <w:next w:val="Normal"/>
    <w:pPr>
      <w:ind w:firstLineChars="0" w:firstLine="0" w:startChars="200" w:endChars="0" w:end="0"/>
      <w:jc w:val="center"/>
    </w:pPr>
    <w:rPr>
      <w:b/>
      <w:sz w:val="32"/>
      <w:szCs w:val="32"/>
    </w:rPr>
  </w:style>
  <w:style w:type="paragraph" w:styleId="TOC3">
    <w:name w:val="toc 3"/>
    <w:basedOn w:val="Normal"/>
    <w:next w:val="Normal"/>
    <w:pPr>
      <w:ind w:firstLineChars="0" w:firstLine="0" w:startChars="400" w:endChars="0" w:end="0"/>
    </w:pPr>
    <w:rPr/>
  </w:style>
  <w:style w:type="paragraph" w:styleId="Style15">
    <w:name w:val="批注框文本"/>
    <w:basedOn w:val="Normal"/>
    <w:pPr/>
    <w:rPr>
      <w:sz w:val="18"/>
      <w:szCs w:val="18"/>
    </w:rPr>
  </w:style>
  <w:style w:type="paragraph" w:styleId="TOC4">
    <w:name w:val="toc 4"/>
    <w:basedOn w:val="Normal"/>
    <w:next w:val="Normal"/>
    <w:pPr>
      <w:ind w:firstLineChars="0" w:firstLine="0" w:startChars="600" w:endChars="0" w:end="0"/>
    </w:pPr>
    <w:rPr/>
  </w:style>
  <w:style w:type="paragraph" w:styleId="Style16">
    <w:name w:val="頁首與頁尾"/>
    <w:basedOn w:val="Normal"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  <w:style w:type="paragraph" w:styleId="Style19">
    <w:name w:val="外框內容"/>
    <w:basedOn w:val="Normal"/>
    <w:pPr/>
    <w:rPr/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  <w:style w:type="numbering" w:styleId="WW8Num4">
    <w:name w:val="WW8Num4"/>
  </w:style>
  <w:style w:type="numbering" w:styleId="WW8Num5">
    <w:name w:val="WW8Num5"/>
  </w:style>
  <w:style w:type="numbering" w:styleId="WW8Num6">
    <w:name w:val="WW8Num6"/>
  </w:style>
  <w:style w:type="numbering" w:styleId="WW8Num7">
    <w:name w:val="WW8Num7"/>
  </w:style>
  <w:style w:type="numbering" w:styleId="WW8Num8">
    <w:name w:val="WW8Num8"/>
  </w:style>
  <w:style w:type="numbering" w:styleId="WW8Num9">
    <w:name w:val="WW8Num9"/>
  </w:style>
  <w:style w:type="numbering" w:styleId="WW8Num10">
    <w:name w:val="WW8Num10"/>
  </w:style>
  <w:style w:type="numbering" w:styleId="WW8Num11">
    <w:name w:val="WW8Num11"/>
  </w:style>
  <w:style w:type="numbering" w:styleId="WW8Num12">
    <w:name w:val="WW8Num12"/>
  </w:style>
  <w:style w:type="numbering" w:styleId="WW8Num13">
    <w:name w:val="WW8Num13"/>
  </w:style>
  <w:style w:type="numbering" w:styleId="WW8Num14">
    <w:name w:val="WW8Num14"/>
  </w:style>
  <w:style w:type="numbering" w:styleId="WW8Num15">
    <w:name w:val="WW8Num15"/>
  </w:style>
  <w:style w:type="numbering" w:styleId="WW8Num16">
    <w:name w:val="WW8Num16"/>
  </w:style>
  <w:style w:type="numbering" w:styleId="WW8Num17">
    <w:name w:val="WW8Num17"/>
  </w:style>
  <w:style w:type="numbering" w:styleId="WW8Num18">
    <w:name w:val="WW8Num18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2011-01-03T17:01:00Z</dcterms:created>
  <dc:creator>簡報雲PPT</dc:creator>
  <dc:description/>
  <cp:keywords/>
  <dc:language>zh-TW</dc:language>
  <cp:lastModifiedBy>簡報雲PPT</cp:lastModifiedBy>
  <dcterms:modified xsi:type="dcterms:W3CDTF">2017-04-24T15:47:00Z</dcterms:modified>
  <cp:revision>7</cp:revision>
  <dc:subject/>
  <dc:title/>
</cp:coreProperties>
</file>