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0"/>
        <w:ind w:right="0"/>
        <w:jc w:val="center"/>
        <w:rPr>
          <w:rFonts w:hint="eastAsia" w:ascii="Arial Unicode MS" w:eastAsia="Arial Unicode MS"/>
          <w:b/>
          <w:sz w:val="44"/>
        </w:rPr>
      </w:pPr>
      <w:r>
        <w:rPr>
          <w:rFonts w:hint="eastAsia" w:ascii="Arial Unicode MS" w:eastAsia="Arial Unicode MS"/>
          <w:b/>
          <w:sz w:val="44"/>
          <w:lang w:val="en-US" w:eastAsia="zh-CN"/>
        </w:rPr>
        <w:t>XX公司</w:t>
      </w:r>
      <w:r>
        <w:rPr>
          <w:rFonts w:hint="eastAsia" w:ascii="Arial Unicode MS" w:eastAsia="Arial Unicode MS"/>
          <w:b/>
          <w:sz w:val="44"/>
        </w:rPr>
        <w:t>績效考核方案（試行）</w:t>
      </w:r>
    </w:p>
    <w:p>
      <w:pPr>
        <w:pStyle w:val="2"/>
        <w:spacing w:before="13"/>
        <w:ind w:left="0"/>
        <w:rPr>
          <w:rFonts w:ascii="Arial Unicode MS"/>
          <w:b/>
          <w:sz w:val="31"/>
        </w:rPr>
      </w:pPr>
    </w:p>
    <w:p>
      <w:pPr>
        <w:pStyle w:val="2"/>
        <w:spacing w:line="338" w:lineRule="auto"/>
        <w:ind w:right="265" w:firstLine="640"/>
        <w:jc w:val="both"/>
      </w:pPr>
      <w:r>
        <w:t>為進一步最佳化完善績效考核體系，加強</w:t>
      </w:r>
      <w:r>
        <w:rPr>
          <w:rFonts w:hint="eastAsia"/>
          <w:lang w:eastAsia="zh-CN"/>
        </w:rPr>
        <w:t>XX公司</w:t>
      </w:r>
      <w:r>
        <w:t>管理規範，提高員工工作積極性，結合</w:t>
      </w:r>
      <w:r>
        <w:rPr>
          <w:rFonts w:hint="eastAsia"/>
          <w:lang w:eastAsia="zh-CN"/>
        </w:rPr>
        <w:t>XX公司</w:t>
      </w:r>
      <w:r>
        <w:t>薪酬管理辦法相關規定，制定</w:t>
      </w:r>
      <w:r>
        <w:rPr>
          <w:rFonts w:hint="eastAsia"/>
          <w:lang w:eastAsia="zh-CN"/>
        </w:rPr>
        <w:t>XX公司</w:t>
      </w:r>
      <w:r>
        <w:t>績效考核方案。</w:t>
      </w:r>
    </w:p>
    <w:p>
      <w:pPr>
        <w:pStyle w:val="2"/>
        <w:tabs>
          <w:tab w:val="left" w:pos="4114"/>
        </w:tabs>
        <w:spacing w:line="376" w:lineRule="exact"/>
        <w:ind w:left="2833"/>
        <w:rPr>
          <w:rFonts w:hint="eastAsia" w:ascii="黑體" w:eastAsia="黑體"/>
        </w:rPr>
      </w:pPr>
      <w:r>
        <w:rPr>
          <w:rFonts w:hint="eastAsia" w:ascii="黑體" w:eastAsia="黑體"/>
        </w:rPr>
        <w:t>第一章</w:t>
      </w:r>
      <w:r>
        <w:rPr>
          <w:rFonts w:hint="eastAsia" w:ascii="黑體" w:eastAsia="黑體"/>
        </w:rPr>
        <w:tab/>
      </w:r>
      <w:r>
        <w:rPr>
          <w:rFonts w:hint="eastAsia" w:ascii="黑體" w:eastAsia="黑體"/>
        </w:rPr>
        <w:t>目的及原則</w:t>
      </w:r>
    </w:p>
    <w:p>
      <w:pPr>
        <w:pStyle w:val="2"/>
        <w:tabs>
          <w:tab w:val="left" w:pos="2045"/>
        </w:tabs>
        <w:spacing w:before="252"/>
        <w:ind w:left="763"/>
      </w:pPr>
      <w:r>
        <w:rPr>
          <w:rFonts w:hint="eastAsia" w:ascii="楷體" w:eastAsia="楷體"/>
        </w:rPr>
        <w:t>第一條</w:t>
      </w:r>
      <w:r>
        <w:rPr>
          <w:rFonts w:hint="eastAsia" w:ascii="楷體" w:eastAsia="楷體"/>
        </w:rPr>
        <w:tab/>
      </w:r>
      <w:r>
        <w:t>績效考核目的</w:t>
      </w:r>
    </w:p>
    <w:p>
      <w:pPr>
        <w:pStyle w:val="2"/>
        <w:spacing w:before="169" w:line="340" w:lineRule="auto"/>
        <w:ind w:right="235" w:firstLine="640"/>
      </w:pPr>
      <w:r>
        <w:t>（一）將公司目標和員工個人目標聯絡起來，並使之成為戰略實現的有效手段；</w:t>
      </w:r>
    </w:p>
    <w:p>
      <w:pPr>
        <w:pStyle w:val="2"/>
        <w:spacing w:line="338" w:lineRule="auto"/>
        <w:ind w:right="234" w:firstLine="640"/>
      </w:pPr>
      <w:r>
        <w:t>（二）為薪酬、福利、晉升、培訓、招聘等的實施提供依據；</w:t>
      </w:r>
    </w:p>
    <w:p>
      <w:pPr>
        <w:pStyle w:val="2"/>
        <w:ind w:left="763"/>
      </w:pPr>
      <w:r>
        <w:t>（三）提高管理者“帶隊”能力和員工的工作能力；</w:t>
      </w:r>
    </w:p>
    <w:p>
      <w:pPr>
        <w:pStyle w:val="2"/>
        <w:spacing w:before="166" w:line="338" w:lineRule="auto"/>
        <w:ind w:right="234" w:firstLine="640"/>
      </w:pPr>
      <w:r>
        <w:t>（四）著眼於人力資源開發，使員工持續成長，績效持續改善。</w:t>
      </w:r>
    </w:p>
    <w:p>
      <w:pPr>
        <w:pStyle w:val="2"/>
        <w:tabs>
          <w:tab w:val="left" w:pos="2045"/>
        </w:tabs>
        <w:spacing w:before="1"/>
        <w:ind w:left="763"/>
      </w:pPr>
      <w:r>
        <w:rPr>
          <w:rFonts w:hint="eastAsia" w:ascii="楷體" w:eastAsia="楷體"/>
        </w:rPr>
        <w:t>第二條</w:t>
      </w:r>
      <w:r>
        <w:rPr>
          <w:rFonts w:hint="eastAsia" w:ascii="楷體" w:eastAsia="楷體"/>
        </w:rPr>
        <w:tab/>
      </w:r>
      <w:r>
        <w:t>績效考核原則</w:t>
      </w:r>
    </w:p>
    <w:p>
      <w:pPr>
        <w:pStyle w:val="2"/>
        <w:spacing w:before="168" w:line="340" w:lineRule="auto"/>
        <w:ind w:right="282" w:firstLine="640"/>
      </w:pPr>
      <w:r>
        <w:t>（一</w:t>
      </w:r>
      <w:r>
        <w:rPr>
          <w:spacing w:val="-3"/>
        </w:rPr>
        <w:t>）</w:t>
      </w:r>
      <w:r>
        <w:rPr>
          <w:spacing w:val="-4"/>
        </w:rPr>
        <w:t>堅持公正、公平、公開、實事求是的原則，上下</w:t>
      </w:r>
      <w:r>
        <w:t>級進行開放、充分的溝通，對績效評價產生認同；</w:t>
      </w:r>
    </w:p>
    <w:p>
      <w:pPr>
        <w:pStyle w:val="2"/>
        <w:spacing w:line="338" w:lineRule="auto"/>
        <w:ind w:right="283" w:firstLine="640"/>
        <w:jc w:val="both"/>
      </w:pPr>
      <w:r>
        <w:t>（二</w:t>
      </w:r>
      <w:r>
        <w:rPr>
          <w:spacing w:val="-10"/>
        </w:rPr>
        <w:t>）</w:t>
      </w:r>
      <w:r>
        <w:rPr>
          <w:spacing w:val="-2"/>
        </w:rPr>
        <w:t>以價值為驅動的原則，建立以價值創造為核心的</w:t>
      </w:r>
      <w:r>
        <w:rPr>
          <w:spacing w:val="-4"/>
        </w:rPr>
        <w:t>企業文化，以公司的經營目標到部門目標、崗位職責及分管</w:t>
      </w:r>
      <w:r>
        <w:t>工作為基礎，全面體現各崗位人員關鍵業績成果；</w:t>
      </w:r>
    </w:p>
    <w:p>
      <w:pPr>
        <w:pStyle w:val="2"/>
        <w:spacing w:line="338" w:lineRule="auto"/>
        <w:ind w:right="283" w:firstLine="640"/>
        <w:jc w:val="both"/>
      </w:pPr>
      <w:r>
        <w:t>（三）與公司戰略目標密切結合的原則，充分體現公司經營戰略方向和目標，業績指標及其權重的設定以所擬定的目的為依據；</w:t>
      </w:r>
    </w:p>
    <w:p>
      <w:pPr>
        <w:pStyle w:val="2"/>
        <w:spacing w:line="338" w:lineRule="auto"/>
        <w:ind w:right="269" w:firstLine="640"/>
        <w:jc w:val="both"/>
      </w:pPr>
      <w:r>
        <w:rPr>
          <w:spacing w:val="14"/>
          <w:w w:val="95"/>
        </w:rPr>
        <w:t xml:space="preserve">（四）通過對員工的工作結果與員工的工作行為來評 </w:t>
      </w:r>
      <w:r>
        <w:rPr>
          <w:spacing w:val="-5"/>
        </w:rPr>
        <w:t>價，不僅是發現問題、解決問題，更重要的是讓員工有一種持續改進，提高績效價值的信心。</w:t>
      </w:r>
    </w:p>
    <w:p>
      <w:pPr>
        <w:pStyle w:val="2"/>
        <w:spacing w:before="4" w:line="338" w:lineRule="auto"/>
        <w:ind w:right="262" w:firstLine="640"/>
        <w:jc w:val="both"/>
      </w:pPr>
      <w:r>
        <w:t>（五）</w:t>
      </w:r>
      <w:r>
        <w:rPr>
          <w:rFonts w:hint="eastAsia"/>
          <w:lang w:eastAsia="zh-CN"/>
        </w:rPr>
        <w:t>月度</w:t>
      </w:r>
      <w:r>
        <w:t>考核</w:t>
      </w:r>
      <w:r>
        <w:rPr>
          <w:rFonts w:hint="eastAsia"/>
          <w:lang w:eastAsia="zh-CN"/>
        </w:rPr>
        <w:t>、半年度考核、</w:t>
      </w:r>
      <w:r>
        <w:t>年度考核相結合，通過績效的設定、評價和反饋，重點關注績效面談，以促進被考評者工作的改進，最終實現組織整體業績的提升，使績效管理成為管理者有效的管理手段。</w:t>
      </w:r>
    </w:p>
    <w:p>
      <w:pPr>
        <w:pStyle w:val="2"/>
        <w:tabs>
          <w:tab w:val="left" w:pos="1281"/>
        </w:tabs>
        <w:spacing w:line="376" w:lineRule="exact"/>
        <w:ind w:left="0" w:right="158"/>
        <w:jc w:val="center"/>
        <w:rPr>
          <w:rFonts w:hint="eastAsia" w:ascii="黑體" w:eastAsia="黑體"/>
        </w:rPr>
      </w:pPr>
      <w:r>
        <w:rPr>
          <w:rFonts w:hint="eastAsia" w:ascii="黑體" w:eastAsia="黑體"/>
        </w:rPr>
        <w:t>第二章</w:t>
      </w:r>
      <w:r>
        <w:rPr>
          <w:rFonts w:hint="eastAsia" w:ascii="黑體" w:eastAsia="黑體"/>
        </w:rPr>
        <w:tab/>
      </w:r>
      <w:r>
        <w:rPr>
          <w:rFonts w:hint="eastAsia" w:ascii="黑體" w:eastAsia="黑體"/>
        </w:rPr>
        <w:t>適用範圍</w:t>
      </w:r>
    </w:p>
    <w:p>
      <w:pPr>
        <w:pStyle w:val="2"/>
        <w:spacing w:before="252" w:line="338" w:lineRule="auto"/>
        <w:ind w:right="286" w:firstLine="640"/>
        <w:jc w:val="both"/>
      </w:pPr>
      <w:r>
        <w:rPr>
          <w:rFonts w:hint="eastAsia" w:ascii="楷體" w:eastAsia="楷體"/>
        </w:rPr>
        <w:t>第三條</w:t>
      </w:r>
      <w:r>
        <w:rPr>
          <w:rFonts w:hint="eastAsia" w:ascii="仿宋" w:hAnsi="仿宋" w:eastAsia="仿宋" w:cs="仿宋"/>
        </w:rPr>
        <w:t xml:space="preserve"> </w:t>
      </w:r>
      <w:r>
        <w:rPr>
          <w:rFonts w:hint="eastAsia" w:ascii="仿宋" w:hAnsi="仿宋" w:eastAsia="仿宋" w:cs="仿宋"/>
          <w:lang w:eastAsia="zh-CN"/>
        </w:rPr>
        <w:t>XX公司</w:t>
      </w:r>
      <w:r>
        <w:t>各部門全體在崗員工。試用期、見習期和執行協議工資人員不在本辦法考核範圍內。</w:t>
      </w:r>
    </w:p>
    <w:p>
      <w:pPr>
        <w:pStyle w:val="2"/>
        <w:tabs>
          <w:tab w:val="left" w:pos="3953"/>
        </w:tabs>
        <w:spacing w:line="375" w:lineRule="exact"/>
        <w:ind w:left="2672"/>
        <w:rPr>
          <w:rFonts w:hint="eastAsia" w:ascii="黑體" w:eastAsia="黑體"/>
        </w:rPr>
      </w:pPr>
      <w:r>
        <w:rPr>
          <w:rFonts w:hint="eastAsia" w:ascii="黑體" w:eastAsia="黑體"/>
        </w:rPr>
        <w:t>第三章</w:t>
      </w:r>
      <w:r>
        <w:rPr>
          <w:rFonts w:hint="eastAsia" w:ascii="黑體" w:eastAsia="黑體"/>
        </w:rPr>
        <w:tab/>
      </w:r>
      <w:r>
        <w:rPr>
          <w:rFonts w:hint="eastAsia" w:ascii="黑體" w:eastAsia="黑體"/>
        </w:rPr>
        <w:t>績效考核職責</w:t>
      </w:r>
    </w:p>
    <w:p>
      <w:pPr>
        <w:pStyle w:val="2"/>
        <w:spacing w:before="252" w:line="338" w:lineRule="auto"/>
        <w:ind w:right="286" w:firstLine="640"/>
        <w:jc w:val="both"/>
      </w:pPr>
      <w:r>
        <w:rPr>
          <w:rFonts w:hint="eastAsia" w:ascii="楷體" w:eastAsia="楷體"/>
        </w:rPr>
        <w:t>第四條</w:t>
      </w:r>
      <w:r>
        <w:rPr>
          <w:rFonts w:hint="eastAsia" w:ascii="楷體" w:eastAsia="楷體"/>
          <w:lang w:eastAsia="zh-CN"/>
        </w:rPr>
        <w:t xml:space="preserve"> </w:t>
      </w:r>
      <w:r>
        <w:rPr>
          <w:rFonts w:hint="eastAsia" w:ascii="仿宋" w:hAnsi="仿宋" w:eastAsia="仿宋" w:cs="仿宋"/>
          <w:lang w:eastAsia="zh-CN"/>
        </w:rPr>
        <w:t>財務部</w:t>
      </w:r>
      <w:r>
        <w:t>負責核算確認經營財務指標資料及完成情況。</w:t>
      </w:r>
    </w:p>
    <w:p>
      <w:pPr>
        <w:pStyle w:val="2"/>
        <w:spacing w:before="1" w:line="338" w:lineRule="auto"/>
        <w:ind w:right="283" w:firstLine="640"/>
        <w:jc w:val="both"/>
      </w:pPr>
      <w:r>
        <w:rPr>
          <w:rFonts w:hint="eastAsia" w:ascii="楷體" w:eastAsia="楷體"/>
          <w:spacing w:val="2"/>
        </w:rPr>
        <w:t>第五條</w:t>
      </w:r>
      <w:r>
        <w:rPr>
          <w:rFonts w:hint="eastAsia" w:ascii="楷體" w:eastAsia="楷體"/>
          <w:spacing w:val="2"/>
          <w:lang w:val="en-US" w:eastAsia="zh-CN"/>
        </w:rPr>
        <w:t xml:space="preserve"> </w:t>
      </w:r>
      <w:r>
        <w:rPr>
          <w:rFonts w:hint="eastAsia" w:ascii="仿宋" w:hAnsi="仿宋" w:eastAsia="仿宋" w:cs="仿宋"/>
          <w:spacing w:val="2"/>
          <w:lang w:eastAsia="zh-CN"/>
        </w:rPr>
        <w:t>人力資源部</w:t>
      </w:r>
      <w:r>
        <w:rPr>
          <w:spacing w:val="3"/>
        </w:rPr>
        <w:t>負責公司績效考核方案的制定、</w:t>
      </w:r>
      <w:r>
        <w:rPr>
          <w:spacing w:val="-5"/>
        </w:rPr>
        <w:t>完善，負責組織、監督、指導各部門實施考核，同時受理各</w:t>
      </w:r>
      <w:r>
        <w:rPr>
          <w:spacing w:val="-3"/>
        </w:rPr>
        <w:t>部門員工未達成一致意見的申訴。負責各職能部門考核</w:t>
      </w:r>
      <w:r>
        <w:t>結果的審核及績效工資的兌現。</w:t>
      </w:r>
    </w:p>
    <w:p>
      <w:pPr>
        <w:pStyle w:val="2"/>
        <w:spacing w:before="4" w:line="338" w:lineRule="auto"/>
        <w:ind w:right="283" w:firstLine="640"/>
        <w:jc w:val="both"/>
      </w:pPr>
      <w:r>
        <w:rPr>
          <w:rFonts w:hint="eastAsia" w:ascii="楷體" w:eastAsia="楷體"/>
          <w:spacing w:val="2"/>
        </w:rPr>
        <w:t xml:space="preserve">第六條 </w:t>
      </w:r>
      <w:r>
        <w:rPr>
          <w:spacing w:val="3"/>
        </w:rPr>
        <w:t>各部門按工作流程和要求，逐級分解經營、管</w:t>
      </w:r>
      <w:r>
        <w:rPr>
          <w:spacing w:val="-4"/>
        </w:rPr>
        <w:t>理目標，組織好本部門員工的績效考核工作；處理本部門員</w:t>
      </w:r>
      <w:r>
        <w:t>工對績效考核結果的申訴。</w:t>
      </w:r>
    </w:p>
    <w:p>
      <w:pPr>
        <w:pStyle w:val="2"/>
        <w:tabs>
          <w:tab w:val="left" w:pos="1281"/>
        </w:tabs>
        <w:spacing w:line="375" w:lineRule="exact"/>
        <w:ind w:left="0" w:right="161"/>
        <w:jc w:val="center"/>
        <w:rPr>
          <w:rFonts w:hint="eastAsia" w:ascii="黑體" w:eastAsia="黑體"/>
        </w:rPr>
      </w:pPr>
      <w:r>
        <w:rPr>
          <w:rFonts w:hint="eastAsia" w:ascii="黑體" w:eastAsia="黑體"/>
        </w:rPr>
        <w:t>第四章</w:t>
      </w:r>
      <w:r>
        <w:rPr>
          <w:rFonts w:hint="eastAsia" w:ascii="黑體" w:eastAsia="黑體"/>
        </w:rPr>
        <w:tab/>
      </w:r>
      <w:r>
        <w:rPr>
          <w:rFonts w:hint="eastAsia" w:ascii="黑體" w:eastAsia="黑體"/>
        </w:rPr>
        <w:t>績效考核週期及時間</w:t>
      </w:r>
    </w:p>
    <w:p>
      <w:pPr>
        <w:spacing w:after="0" w:line="375" w:lineRule="exact"/>
        <w:jc w:val="center"/>
        <w:rPr>
          <w:rFonts w:hint="eastAsia" w:ascii="黑體" w:eastAsia="黑體"/>
        </w:rPr>
        <w:sectPr>
          <w:pgSz w:w="11910" w:h="16840"/>
          <w:pgMar w:top="1540" w:right="1520" w:bottom="1080" w:left="1680" w:header="0" w:footer="884" w:gutter="0"/>
        </w:sectPr>
      </w:pPr>
    </w:p>
    <w:p>
      <w:pPr>
        <w:pStyle w:val="2"/>
        <w:spacing w:before="25"/>
        <w:ind w:left="763"/>
      </w:pPr>
      <w:r>
        <w:rPr>
          <w:rFonts w:hint="eastAsia" w:ascii="楷體" w:eastAsia="楷體"/>
        </w:rPr>
        <w:t xml:space="preserve">第七條 </w:t>
      </w:r>
      <w:r>
        <w:t>考核週期</w:t>
      </w:r>
    </w:p>
    <w:p>
      <w:pPr>
        <w:pStyle w:val="2"/>
        <w:spacing w:before="168"/>
        <w:ind w:left="763"/>
      </w:pPr>
      <w:r>
        <w:t>（一）管理團隊成員年度考核晉</w:t>
      </w:r>
      <w:r>
        <w:rPr>
          <w:rFonts w:hint="eastAsia"/>
          <w:lang w:eastAsia="zh-CN"/>
        </w:rPr>
        <w:t>級</w:t>
      </w:r>
      <w:r>
        <w:t>。</w:t>
      </w:r>
    </w:p>
    <w:p>
      <w:pPr>
        <w:pStyle w:val="2"/>
        <w:spacing w:before="169" w:line="338" w:lineRule="auto"/>
        <w:ind w:right="279" w:firstLine="640"/>
        <w:jc w:val="both"/>
      </w:pPr>
      <w:r>
        <w:t>（二</w:t>
      </w:r>
      <w:r>
        <w:rPr>
          <w:spacing w:val="-10"/>
        </w:rPr>
        <w:t>）</w:t>
      </w:r>
      <w:r>
        <w:rPr>
          <w:spacing w:val="-2"/>
        </w:rPr>
        <w:t>員工實行</w:t>
      </w:r>
      <w:r>
        <w:rPr>
          <w:rFonts w:hint="eastAsia"/>
          <w:lang w:eastAsia="zh-CN"/>
        </w:rPr>
        <w:t>月度</w:t>
      </w:r>
      <w:r>
        <w:t>考核</w:t>
      </w:r>
      <w:r>
        <w:rPr>
          <w:rFonts w:hint="eastAsia"/>
          <w:lang w:eastAsia="zh-CN"/>
        </w:rPr>
        <w:t>、半年度考核、</w:t>
      </w:r>
      <w:r>
        <w:t>年度考核</w:t>
      </w:r>
      <w:r>
        <w:rPr>
          <w:spacing w:val="-2"/>
        </w:rPr>
        <w:t>是針對</w:t>
      </w:r>
      <w:r>
        <w:rPr>
          <w:spacing w:val="-4"/>
        </w:rPr>
        <w:t>單位經營指標完成情況作評價；並採用“</w:t>
      </w:r>
      <w:r>
        <w:rPr>
          <w:rFonts w:hint="eastAsia"/>
          <w:spacing w:val="-4"/>
          <w:lang w:eastAsia="zh-CN"/>
        </w:rPr>
        <w:t>多維度</w:t>
      </w:r>
      <w:r>
        <w:rPr>
          <w:spacing w:val="-4"/>
        </w:rPr>
        <w:t>”考核體系進</w:t>
      </w:r>
      <w:r>
        <w:t>行評價；</w:t>
      </w:r>
      <w:r>
        <w:rPr>
          <w:rFonts w:hint="eastAsia"/>
          <w:lang w:eastAsia="zh-CN"/>
        </w:rPr>
        <w:t>月度</w:t>
      </w:r>
      <w:r>
        <w:t>考核</w:t>
      </w:r>
      <w:r>
        <w:rPr>
          <w:rFonts w:hint="eastAsia"/>
          <w:lang w:eastAsia="zh-CN"/>
        </w:rPr>
        <w:t>、半年度考核、</w:t>
      </w:r>
      <w:r>
        <w:t>年度考核的平均值。</w:t>
      </w:r>
    </w:p>
    <w:p>
      <w:pPr>
        <w:pStyle w:val="2"/>
        <w:spacing w:before="3"/>
        <w:ind w:left="763"/>
        <w:rPr>
          <w:sz w:val="24"/>
        </w:rPr>
      </w:pPr>
      <w:r>
        <w:rPr>
          <w:rFonts w:hint="eastAsia" w:ascii="楷體" w:eastAsia="楷體"/>
        </w:rPr>
        <w:t xml:space="preserve">第八條 </w:t>
      </w:r>
      <w:r>
        <w:t>績效考核時間</w:t>
      </w:r>
    </w:p>
    <w:p>
      <w:pPr>
        <w:pStyle w:val="2"/>
        <w:keepNext w:val="0"/>
        <w:keepLines w:val="0"/>
        <w:pageBreakBefore w:val="0"/>
        <w:widowControl w:val="0"/>
        <w:kinsoku/>
        <w:wordWrap/>
        <w:overflowPunct/>
        <w:topLinePunct w:val="0"/>
        <w:autoSpaceDE w:val="0"/>
        <w:autoSpaceDN w:val="0"/>
        <w:bidi w:val="0"/>
        <w:adjustRightInd/>
        <w:snapToGrid/>
        <w:spacing w:before="1" w:line="600" w:lineRule="exact"/>
        <w:ind w:left="0"/>
        <w:textAlignment w:val="auto"/>
        <w:outlineLvl w:val="9"/>
        <w:rPr>
          <w:rFonts w:hint="eastAsia"/>
          <w:spacing w:val="-2"/>
          <w:lang w:val="en-US" w:eastAsia="zh-CN"/>
        </w:rPr>
      </w:pPr>
      <w:r>
        <w:rPr>
          <w:rFonts w:hint="eastAsia"/>
          <w:sz w:val="24"/>
          <w:lang w:val="en-US" w:eastAsia="zh-CN"/>
        </w:rPr>
        <w:t xml:space="preserve">     </w:t>
      </w:r>
      <w:r>
        <w:rPr>
          <w:rFonts w:hint="eastAsia"/>
          <w:spacing w:val="-2"/>
          <w:lang w:val="en-US" w:eastAsia="zh-CN"/>
        </w:rPr>
        <w:t>每月1日到月底最後一天為一個月度考核期，次月5日</w:t>
      </w:r>
    </w:p>
    <w:p>
      <w:pPr>
        <w:pStyle w:val="2"/>
        <w:keepNext w:val="0"/>
        <w:keepLines w:val="0"/>
        <w:pageBreakBefore w:val="0"/>
        <w:widowControl w:val="0"/>
        <w:kinsoku/>
        <w:wordWrap/>
        <w:overflowPunct/>
        <w:topLinePunct w:val="0"/>
        <w:autoSpaceDE w:val="0"/>
        <w:autoSpaceDN w:val="0"/>
        <w:bidi w:val="0"/>
        <w:adjustRightInd/>
        <w:snapToGrid/>
        <w:spacing w:before="1" w:line="600" w:lineRule="exact"/>
        <w:ind w:left="0"/>
        <w:textAlignment w:val="auto"/>
        <w:outlineLvl w:val="9"/>
        <w:rPr>
          <w:rFonts w:hint="eastAsia"/>
          <w:spacing w:val="-2"/>
          <w:lang w:val="en-US" w:eastAsia="zh-CN"/>
        </w:rPr>
      </w:pPr>
      <w:r>
        <w:rPr>
          <w:rFonts w:hint="eastAsia"/>
          <w:spacing w:val="-2"/>
          <w:lang w:val="en-US" w:eastAsia="zh-CN"/>
        </w:rPr>
        <w:t>前彙總所有考核彙總；每年1月1日到6月30日為半年度考核期，7月5日前完成所有考核彙總；每年1月1日到12月31日為年度考核期，次年1月20日前完成所有考核彙總。</w:t>
      </w:r>
    </w:p>
    <w:p>
      <w:pPr>
        <w:pStyle w:val="2"/>
        <w:keepNext w:val="0"/>
        <w:keepLines w:val="0"/>
        <w:pageBreakBefore w:val="0"/>
        <w:widowControl w:val="0"/>
        <w:kinsoku/>
        <w:wordWrap/>
        <w:overflowPunct/>
        <w:topLinePunct w:val="0"/>
        <w:autoSpaceDE w:val="0"/>
        <w:autoSpaceDN w:val="0"/>
        <w:bidi w:val="0"/>
        <w:adjustRightInd/>
        <w:snapToGrid/>
        <w:spacing w:before="1" w:line="600" w:lineRule="exact"/>
        <w:ind w:left="0"/>
        <w:textAlignment w:val="auto"/>
        <w:outlineLvl w:val="9"/>
        <w:rPr>
          <w:rFonts w:hint="eastAsia"/>
          <w:spacing w:val="-2"/>
          <w:lang w:val="en-US" w:eastAsia="zh-CN"/>
        </w:rPr>
      </w:pPr>
    </w:p>
    <w:p>
      <w:pPr>
        <w:pStyle w:val="2"/>
        <w:tabs>
          <w:tab w:val="left" w:pos="3473"/>
        </w:tabs>
        <w:ind w:left="2192"/>
        <w:rPr>
          <w:rFonts w:hint="eastAsia" w:ascii="黑體" w:eastAsia="黑體"/>
        </w:rPr>
      </w:pPr>
      <w:r>
        <w:rPr>
          <w:rFonts w:hint="eastAsia" w:ascii="黑體" w:eastAsia="黑體"/>
        </w:rPr>
        <w:t>第五章</w:t>
      </w:r>
      <w:r>
        <w:rPr>
          <w:rFonts w:hint="eastAsia" w:ascii="黑體" w:eastAsia="黑體"/>
        </w:rPr>
        <w:tab/>
      </w:r>
      <w:r>
        <w:rPr>
          <w:rFonts w:hint="eastAsia" w:ascii="黑體" w:eastAsia="黑體"/>
        </w:rPr>
        <w:t>績效考核指標及權重</w:t>
      </w:r>
    </w:p>
    <w:p>
      <w:pPr>
        <w:pStyle w:val="2"/>
        <w:spacing w:before="250" w:line="338" w:lineRule="auto"/>
        <w:ind w:right="117" w:firstLine="640"/>
        <w:rPr>
          <w:spacing w:val="3"/>
        </w:rPr>
      </w:pPr>
      <w:r>
        <w:rPr>
          <w:rFonts w:hint="eastAsia" w:ascii="楷體" w:eastAsia="楷體"/>
          <w:spacing w:val="3"/>
        </w:rPr>
        <w:t xml:space="preserve">第九條 </w:t>
      </w:r>
      <w:r>
        <w:rPr>
          <w:spacing w:val="3"/>
        </w:rPr>
        <w:t>財務指標。主要反映</w:t>
      </w:r>
      <w:r>
        <w:rPr>
          <w:rFonts w:hint="eastAsia"/>
          <w:spacing w:val="3"/>
          <w:lang w:eastAsia="zh-CN"/>
        </w:rPr>
        <w:t>公司</w:t>
      </w:r>
      <w:r>
        <w:rPr>
          <w:spacing w:val="3"/>
        </w:rPr>
        <w:t>經營計劃完成情況的業績成果，包括考核收入、考核利潤。其中考核收入佔 30%， 考核利潤佔 70%。</w:t>
      </w:r>
      <w:r>
        <w:rPr>
          <w:rFonts w:hint="eastAsia"/>
          <w:spacing w:val="3"/>
          <w:lang w:eastAsia="zh-CN"/>
        </w:rPr>
        <w:t>財務部</w:t>
      </w:r>
      <w:r>
        <w:rPr>
          <w:spacing w:val="3"/>
        </w:rPr>
        <w:t>根據</w:t>
      </w:r>
      <w:r>
        <w:rPr>
          <w:rFonts w:hint="eastAsia"/>
          <w:spacing w:val="3"/>
          <w:lang w:eastAsia="zh-CN"/>
        </w:rPr>
        <w:t>半年度</w:t>
      </w:r>
      <w:r>
        <w:rPr>
          <w:spacing w:val="3"/>
        </w:rPr>
        <w:t>預算完成情況計算</w:t>
      </w:r>
      <w:r>
        <w:rPr>
          <w:rFonts w:hint="eastAsia"/>
          <w:spacing w:val="3"/>
          <w:lang w:eastAsia="zh-CN"/>
        </w:rPr>
        <w:t>及全年預算完成情況計算</w:t>
      </w:r>
      <w:r>
        <w:rPr>
          <w:spacing w:val="3"/>
        </w:rPr>
        <w:t>得分。得分於次</w:t>
      </w:r>
      <w:r>
        <w:rPr>
          <w:rFonts w:hint="eastAsia"/>
          <w:spacing w:val="3"/>
          <w:lang w:eastAsia="zh-CN"/>
        </w:rPr>
        <w:t>月</w:t>
      </w:r>
      <w:r>
        <w:rPr>
          <w:spacing w:val="3"/>
        </w:rPr>
        <w:t xml:space="preserve"> </w:t>
      </w:r>
      <w:r>
        <w:rPr>
          <w:rFonts w:hint="eastAsia"/>
          <w:spacing w:val="3"/>
          <w:lang w:val="en-US" w:eastAsia="zh-CN"/>
        </w:rPr>
        <w:t>5</w:t>
      </w:r>
      <w:r>
        <w:rPr>
          <w:spacing w:val="3"/>
        </w:rPr>
        <w:t xml:space="preserve"> 日前由</w:t>
      </w:r>
      <w:r>
        <w:rPr>
          <w:rFonts w:hint="eastAsia"/>
          <w:spacing w:val="3"/>
          <w:lang w:eastAsia="zh-CN"/>
        </w:rPr>
        <w:t>財務部</w:t>
      </w:r>
      <w:r>
        <w:rPr>
          <w:spacing w:val="3"/>
        </w:rPr>
        <w:t>計算，財務負責人簽字後報</w:t>
      </w:r>
      <w:r>
        <w:rPr>
          <w:rFonts w:hint="eastAsia"/>
          <w:spacing w:val="3"/>
          <w:lang w:eastAsia="zh-CN"/>
        </w:rPr>
        <w:t>人力資源部</w:t>
      </w:r>
      <w:r>
        <w:rPr>
          <w:spacing w:val="3"/>
        </w:rPr>
        <w:t>。</w:t>
      </w:r>
      <w:r>
        <w:rPr>
          <w:rFonts w:hint="eastAsia"/>
          <w:spacing w:val="3"/>
          <w:lang w:eastAsia="zh-CN"/>
        </w:rPr>
        <w:t>人力資源部</w:t>
      </w:r>
      <w:r>
        <w:rPr>
          <w:spacing w:val="3"/>
        </w:rPr>
        <w:t>根據得分對應計算係數。</w:t>
      </w:r>
    </w:p>
    <w:p>
      <w:pPr>
        <w:pStyle w:val="2"/>
        <w:spacing w:before="250" w:line="338" w:lineRule="auto"/>
        <w:ind w:right="117" w:firstLine="640"/>
        <w:rPr>
          <w:rFonts w:hint="eastAsia"/>
          <w:spacing w:val="3"/>
        </w:rPr>
      </w:pPr>
      <w:r>
        <w:rPr>
          <w:rFonts w:hint="eastAsia"/>
          <w:spacing w:val="3"/>
        </w:rPr>
        <w:t>第十條 個人指標體系。充分考慮崗位情況， 設定並輔以加分指標、否決性指標，建立“</w:t>
      </w:r>
      <w:r>
        <w:rPr>
          <w:rFonts w:hint="eastAsia"/>
          <w:spacing w:val="3"/>
          <w:lang w:eastAsia="zh-CN"/>
        </w:rPr>
        <w:t>多維度</w:t>
      </w:r>
      <w:r>
        <w:rPr>
          <w:rFonts w:hint="eastAsia"/>
          <w:spacing w:val="3"/>
        </w:rPr>
        <w:t>”考核指標體系。其中“重點指標、</w:t>
      </w:r>
      <w:r>
        <w:rPr>
          <w:rFonts w:hint="eastAsia"/>
          <w:spacing w:val="3"/>
          <w:lang w:eastAsia="zh-CN"/>
        </w:rPr>
        <w:t>基本指標</w:t>
      </w:r>
      <w:r>
        <w:rPr>
          <w:rFonts w:hint="eastAsia"/>
          <w:spacing w:val="3"/>
        </w:rPr>
        <w:t>和協同指標”總分 100 分。本考核為</w:t>
      </w:r>
      <w:r>
        <w:rPr>
          <w:rFonts w:hint="eastAsia"/>
          <w:spacing w:val="3"/>
          <w:lang w:eastAsia="zh-CN"/>
        </w:rPr>
        <w:t>月</w:t>
      </w:r>
      <w:r>
        <w:rPr>
          <w:rFonts w:hint="eastAsia"/>
          <w:spacing w:val="3"/>
        </w:rPr>
        <w:t>度考核。</w:t>
      </w:r>
    </w:p>
    <w:p>
      <w:pPr>
        <w:pStyle w:val="2"/>
        <w:spacing w:before="250" w:line="338" w:lineRule="auto"/>
        <w:ind w:right="117" w:firstLine="640"/>
        <w:rPr>
          <w:rFonts w:hint="eastAsia"/>
          <w:spacing w:val="3"/>
        </w:rPr>
      </w:pPr>
      <w:r>
        <w:rPr>
          <w:rFonts w:hint="eastAsia"/>
          <w:spacing w:val="3"/>
        </w:rPr>
        <w:t>（一）重點指標為 3 項，考核員工 KPI 關鍵業績指標。即每個崗位選取自己本</w:t>
      </w:r>
      <w:r>
        <w:rPr>
          <w:rFonts w:hint="eastAsia"/>
          <w:spacing w:val="3"/>
          <w:lang w:eastAsia="zh-CN"/>
        </w:rPr>
        <w:t>月</w:t>
      </w:r>
      <w:r>
        <w:rPr>
          <w:rFonts w:hint="eastAsia"/>
          <w:spacing w:val="3"/>
        </w:rPr>
        <w:t xml:space="preserve"> 3 項重點工作，並確定具體目標。</w:t>
      </w:r>
    </w:p>
    <w:p>
      <w:pPr>
        <w:pStyle w:val="2"/>
        <w:spacing w:before="250" w:line="338" w:lineRule="auto"/>
        <w:ind w:right="117" w:firstLine="640"/>
        <w:rPr>
          <w:rFonts w:hint="eastAsia"/>
          <w:spacing w:val="3"/>
        </w:rPr>
      </w:pPr>
      <w:r>
        <w:rPr>
          <w:rFonts w:hint="eastAsia"/>
          <w:spacing w:val="3"/>
        </w:rPr>
        <w:t>（二）</w:t>
      </w:r>
      <w:r>
        <w:rPr>
          <w:rFonts w:hint="eastAsia"/>
          <w:spacing w:val="3"/>
          <w:lang w:eastAsia="zh-CN"/>
        </w:rPr>
        <w:t>基本指標</w:t>
      </w:r>
      <w:r>
        <w:rPr>
          <w:rFonts w:hint="eastAsia"/>
          <w:spacing w:val="3"/>
        </w:rPr>
        <w:t>，考核員工 KBI 關鍵行為指標，即各崗位共性態度和行為指標，根據工作要求，選取工作紀律、工作效率、工作主動性、溝通與解決問題能力四項指標。權重40 分，每項指標 10 分。上級考核下級，分管主管對部門負責人及二級部負責人打分。直接上級打分佔 50%，部門負責人或分管主管佔比 50%。</w:t>
      </w:r>
    </w:p>
    <w:p>
      <w:pPr>
        <w:pStyle w:val="2"/>
        <w:spacing w:before="250" w:line="338" w:lineRule="auto"/>
        <w:ind w:right="117" w:firstLine="640"/>
        <w:rPr>
          <w:rFonts w:hint="eastAsia"/>
          <w:spacing w:val="3"/>
        </w:rPr>
      </w:pPr>
      <w:r>
        <w:rPr>
          <w:rFonts w:hint="eastAsia"/>
          <w:spacing w:val="3"/>
        </w:rPr>
        <w:t>（三）協同指標。主要考核整體意識和協同意識，團隊合作及工作補位情況。由同級之間互相考核。權重 20 分。</w:t>
      </w:r>
    </w:p>
    <w:p>
      <w:pPr>
        <w:pStyle w:val="2"/>
        <w:spacing w:before="250" w:line="338" w:lineRule="auto"/>
        <w:ind w:right="117" w:firstLine="640"/>
        <w:rPr>
          <w:rFonts w:hint="eastAsia"/>
          <w:spacing w:val="3"/>
        </w:rPr>
      </w:pPr>
      <w:r>
        <w:rPr>
          <w:rFonts w:hint="eastAsia"/>
          <w:spacing w:val="3"/>
        </w:rPr>
        <w:t>（四）加分指標。一是針對該崗位勝任力和持續提升、超出預期的指標；二是除常規工作外確有較大貢獻的或臨時增加非常規工作任務的情形，部門負責人可根據實際情況對員工加分。由各部門根據工作情況填寫加分申請表，負責人簽字後報備</w:t>
      </w:r>
      <w:r>
        <w:rPr>
          <w:rFonts w:hint="eastAsia"/>
          <w:spacing w:val="3"/>
          <w:lang w:eastAsia="zh-CN"/>
        </w:rPr>
        <w:t>人力資源部</w:t>
      </w:r>
      <w:r>
        <w:rPr>
          <w:rFonts w:hint="eastAsia"/>
          <w:spacing w:val="3"/>
        </w:rPr>
        <w:t>，每人每個考核週期加分最高不超過 10 分，每部門每個考核週期加分總分不得超過參與考評總人數</w:t>
      </w:r>
      <w:r>
        <w:rPr>
          <w:rFonts w:hint="eastAsia"/>
          <w:spacing w:val="3"/>
          <w:lang w:eastAsia="zh-CN"/>
        </w:rPr>
        <w:t>×</w:t>
      </w:r>
      <w:r>
        <w:rPr>
          <w:rFonts w:hint="eastAsia"/>
          <w:spacing w:val="3"/>
        </w:rPr>
        <w:t>2 分。以加分申請表申請日期為準核定所在考核週期。</w:t>
      </w:r>
    </w:p>
    <w:p>
      <w:pPr>
        <w:pStyle w:val="2"/>
        <w:spacing w:before="250" w:line="338" w:lineRule="auto"/>
        <w:ind w:right="117" w:firstLine="640"/>
        <w:rPr>
          <w:spacing w:val="3"/>
        </w:rPr>
      </w:pPr>
      <w:r>
        <w:rPr>
          <w:rFonts w:hint="eastAsia"/>
          <w:spacing w:val="3"/>
        </w:rPr>
        <w:t>（五）否決性指標。</w:t>
      </w:r>
      <w:r>
        <w:rPr>
          <w:rFonts w:hint="eastAsia"/>
          <w:spacing w:val="3"/>
          <w:lang w:eastAsia="zh-CN"/>
        </w:rPr>
        <w:t>違反公司相關制度</w:t>
      </w:r>
      <w:r>
        <w:rPr>
          <w:rFonts w:hint="eastAsia"/>
          <w:spacing w:val="3"/>
        </w:rPr>
        <w:t>及重大違紀等，</w:t>
      </w:r>
      <w:r>
        <w:rPr>
          <w:spacing w:val="3"/>
        </w:rPr>
        <w:t>已在公司內通報的，除按法律法規及相關政策處理之外，一票否決，當期考核得分一律為 0 分。</w:t>
      </w:r>
    </w:p>
    <w:p>
      <w:pPr>
        <w:pStyle w:val="2"/>
        <w:tabs>
          <w:tab w:val="left" w:pos="3473"/>
        </w:tabs>
        <w:spacing w:line="376" w:lineRule="exact"/>
        <w:ind w:left="2192"/>
        <w:rPr>
          <w:rFonts w:hint="eastAsia" w:ascii="黑體" w:eastAsia="黑體"/>
        </w:rPr>
      </w:pPr>
      <w:r>
        <w:rPr>
          <w:rFonts w:hint="eastAsia" w:ascii="黑體" w:eastAsia="黑體"/>
        </w:rPr>
        <w:t>第六章</w:t>
      </w:r>
      <w:r>
        <w:rPr>
          <w:rFonts w:hint="eastAsia" w:ascii="黑體" w:eastAsia="黑體"/>
        </w:rPr>
        <w:tab/>
      </w:r>
      <w:r>
        <w:rPr>
          <w:rFonts w:hint="eastAsia" w:ascii="黑體" w:eastAsia="黑體"/>
        </w:rPr>
        <w:t>績效考核方法及流程</w:t>
      </w:r>
    </w:p>
    <w:p>
      <w:pPr>
        <w:pStyle w:val="2"/>
        <w:spacing w:before="252"/>
        <w:ind w:left="763"/>
      </w:pPr>
      <w:r>
        <w:rPr>
          <w:rFonts w:hint="eastAsia" w:ascii="楷體" w:eastAsia="楷體"/>
        </w:rPr>
        <w:t xml:space="preserve">第十一條 </w:t>
      </w:r>
      <w:r>
        <w:t>績效考核方法</w:t>
      </w:r>
    </w:p>
    <w:p>
      <w:pPr>
        <w:pStyle w:val="2"/>
        <w:keepNext w:val="0"/>
        <w:keepLines w:val="0"/>
        <w:pageBreakBefore w:val="0"/>
        <w:widowControl w:val="0"/>
        <w:kinsoku/>
        <w:wordWrap/>
        <w:overflowPunct/>
        <w:topLinePunct w:val="0"/>
        <w:autoSpaceDE w:val="0"/>
        <w:autoSpaceDN w:val="0"/>
        <w:bidi w:val="0"/>
        <w:adjustRightInd/>
        <w:snapToGrid/>
        <w:spacing w:before="25" w:line="600" w:lineRule="exact"/>
        <w:ind w:left="119" w:firstLine="620" w:firstLineChars="200"/>
        <w:textAlignment w:val="auto"/>
        <w:outlineLvl w:val="9"/>
      </w:pPr>
      <w:r>
        <w:rPr>
          <w:spacing w:val="-5"/>
        </w:rPr>
        <w:t>實行垂直考核、二級複核確認。即上級考核下級，逐級進行。板塊負責人為第一級考核人，部門負責人有審核監督</w:t>
      </w:r>
      <w:r>
        <w:t>權和最終決定權。</w:t>
      </w:r>
    </w:p>
    <w:p>
      <w:pPr>
        <w:pStyle w:val="2"/>
        <w:spacing w:before="168"/>
        <w:ind w:left="763"/>
      </w:pPr>
      <w:r>
        <w:rPr>
          <w:rFonts w:hint="eastAsia" w:ascii="楷體" w:eastAsia="楷體"/>
        </w:rPr>
        <w:t xml:space="preserve">第十二條 </w:t>
      </w:r>
      <w:r>
        <w:t>績效考核流程</w:t>
      </w:r>
    </w:p>
    <w:p>
      <w:pPr>
        <w:pStyle w:val="2"/>
        <w:spacing w:before="169"/>
        <w:ind w:left="763"/>
      </w:pPr>
      <w:r>
        <w:t>（一）績效考核準備工作</w:t>
      </w:r>
    </w:p>
    <w:p>
      <w:pPr>
        <w:pStyle w:val="2"/>
        <w:spacing w:before="171" w:line="338" w:lineRule="auto"/>
        <w:ind w:right="283" w:firstLine="640"/>
        <w:jc w:val="both"/>
      </w:pPr>
      <w:r>
        <w:rPr>
          <w:spacing w:val="-3"/>
        </w:rPr>
        <w:t>主要包括績效考核動員、績效考核培訓以及明確績效考</w:t>
      </w:r>
      <w:r>
        <w:rPr>
          <w:spacing w:val="-4"/>
        </w:rPr>
        <w:t>核工作流程、考核步驟、方法、時間等，由</w:t>
      </w:r>
      <w:r>
        <w:rPr>
          <w:rFonts w:hint="eastAsia"/>
          <w:spacing w:val="-4"/>
          <w:lang w:eastAsia="zh-CN"/>
        </w:rPr>
        <w:t>人力資源部</w:t>
      </w:r>
      <w:r>
        <w:rPr>
          <w:spacing w:val="-4"/>
        </w:rPr>
        <w:t>具</w:t>
      </w:r>
      <w:r>
        <w:t>體組織。</w:t>
      </w:r>
    </w:p>
    <w:p>
      <w:pPr>
        <w:pStyle w:val="2"/>
        <w:spacing w:before="1"/>
        <w:ind w:left="763"/>
      </w:pPr>
      <w:r>
        <w:t>（二）績效目標設定</w:t>
      </w:r>
    </w:p>
    <w:p>
      <w:pPr>
        <w:pStyle w:val="6"/>
        <w:numPr>
          <w:ilvl w:val="0"/>
          <w:numId w:val="1"/>
        </w:numPr>
        <w:tabs>
          <w:tab w:val="left" w:pos="1086"/>
        </w:tabs>
        <w:spacing w:before="171" w:after="0" w:line="240" w:lineRule="auto"/>
        <w:ind w:left="1085" w:right="0" w:hanging="322"/>
        <w:jc w:val="left"/>
        <w:rPr>
          <w:sz w:val="32"/>
        </w:rPr>
      </w:pPr>
      <w:r>
        <w:rPr>
          <w:sz w:val="32"/>
        </w:rPr>
        <w:t>重點指標</w:t>
      </w:r>
    </w:p>
    <w:p>
      <w:pPr>
        <w:pStyle w:val="2"/>
        <w:spacing w:before="168" w:line="338" w:lineRule="auto"/>
        <w:ind w:right="266" w:firstLine="640"/>
      </w:pPr>
      <w:r>
        <w:rPr>
          <w:spacing w:val="14"/>
          <w:w w:val="95"/>
        </w:rPr>
        <w:t xml:space="preserve">個人依照公司目標及主管指示設定個人考核期內重要 </w:t>
      </w:r>
      <w:r>
        <w:rPr>
          <w:spacing w:val="-42"/>
        </w:rPr>
        <w:t xml:space="preserve">的 </w:t>
      </w:r>
      <w:r>
        <w:t>3</w:t>
      </w:r>
      <w:r>
        <w:rPr>
          <w:spacing w:val="-11"/>
        </w:rPr>
        <w:t xml:space="preserve"> 項指標於績效考核表內，同時設定相應的目標與權數。</w:t>
      </w:r>
    </w:p>
    <w:p>
      <w:pPr>
        <w:pStyle w:val="2"/>
        <w:spacing w:before="1" w:line="338" w:lineRule="auto"/>
        <w:ind w:right="282"/>
        <w:jc w:val="both"/>
      </w:pPr>
      <w:r>
        <w:rPr>
          <w:spacing w:val="-9"/>
        </w:rPr>
        <w:t xml:space="preserve">在每個考核週期第 </w:t>
      </w:r>
      <w:r>
        <w:t>1</w:t>
      </w:r>
      <w:r>
        <w:rPr>
          <w:spacing w:val="-41"/>
        </w:rPr>
        <w:t xml:space="preserve"> 個月 </w:t>
      </w:r>
      <w:r>
        <w:t>5</w:t>
      </w:r>
      <w:r>
        <w:rPr>
          <w:spacing w:val="-12"/>
        </w:rPr>
        <w:t xml:space="preserve"> 個工作日內，考核人回收被考核</w:t>
      </w:r>
      <w:r>
        <w:rPr>
          <w:spacing w:val="-3"/>
        </w:rPr>
        <w:t>人的績效考核表後，針對目標與權數予以檢視並與被考核人</w:t>
      </w:r>
      <w:r>
        <w:t>進行討論，確認當期工作計劃、完成時間和考核標準。</w:t>
      </w:r>
    </w:p>
    <w:p>
      <w:pPr>
        <w:pStyle w:val="6"/>
        <w:numPr>
          <w:ilvl w:val="0"/>
          <w:numId w:val="1"/>
        </w:numPr>
        <w:tabs>
          <w:tab w:val="left" w:pos="1086"/>
        </w:tabs>
        <w:spacing w:before="4" w:after="0" w:line="240" w:lineRule="auto"/>
        <w:ind w:left="1085" w:right="0" w:hanging="322"/>
        <w:jc w:val="left"/>
        <w:rPr>
          <w:sz w:val="32"/>
        </w:rPr>
      </w:pPr>
      <w:r>
        <w:rPr>
          <w:rFonts w:hint="eastAsia"/>
          <w:sz w:val="32"/>
          <w:lang w:eastAsia="zh-CN"/>
        </w:rPr>
        <w:t>基本指標</w:t>
      </w:r>
    </w:p>
    <w:p>
      <w:pPr>
        <w:pStyle w:val="2"/>
        <w:spacing w:before="168" w:line="340" w:lineRule="auto"/>
        <w:ind w:right="234" w:firstLine="640"/>
      </w:pPr>
      <w:r>
        <w:rPr>
          <w:rFonts w:hint="eastAsia"/>
          <w:lang w:eastAsia="zh-CN"/>
        </w:rPr>
        <w:t>基本指標由</w:t>
      </w:r>
      <w:r>
        <w:rPr>
          <w:rFonts w:hint="eastAsia"/>
          <w:lang w:eastAsia="zh-CN"/>
        </w:rPr>
        <w:t>人力資源部</w:t>
      </w:r>
      <w:r>
        <w:t>組織各部門相關負責人，按照對下一步的工作要求共同確定，確定後使用一年。</w:t>
      </w:r>
    </w:p>
    <w:p>
      <w:pPr>
        <w:pStyle w:val="6"/>
        <w:numPr>
          <w:ilvl w:val="0"/>
          <w:numId w:val="1"/>
        </w:numPr>
        <w:tabs>
          <w:tab w:val="left" w:pos="1086"/>
        </w:tabs>
        <w:spacing w:before="0" w:after="0" w:line="405" w:lineRule="exact"/>
        <w:ind w:left="1085" w:right="0" w:hanging="322"/>
        <w:jc w:val="left"/>
        <w:rPr>
          <w:sz w:val="32"/>
        </w:rPr>
      </w:pPr>
      <w:r>
        <w:rPr>
          <w:spacing w:val="-6"/>
          <w:sz w:val="32"/>
        </w:rPr>
        <w:t xml:space="preserve">目標設定應於每個考核週期的第 </w:t>
      </w:r>
      <w:r>
        <w:rPr>
          <w:sz w:val="32"/>
        </w:rPr>
        <w:t>1</w:t>
      </w:r>
      <w:r>
        <w:rPr>
          <w:spacing w:val="-43"/>
          <w:sz w:val="32"/>
        </w:rPr>
        <w:t xml:space="preserve"> 個月 </w:t>
      </w:r>
      <w:r>
        <w:rPr>
          <w:sz w:val="32"/>
        </w:rPr>
        <w:t>10</w:t>
      </w:r>
      <w:r>
        <w:rPr>
          <w:spacing w:val="-16"/>
          <w:sz w:val="32"/>
        </w:rPr>
        <w:t xml:space="preserve"> 號前完成。</w:t>
      </w:r>
    </w:p>
    <w:p>
      <w:pPr>
        <w:pStyle w:val="2"/>
        <w:spacing w:before="4"/>
        <w:ind w:left="763"/>
        <w:rPr>
          <w:rFonts w:hint="eastAsia"/>
          <w:lang w:eastAsia="zh-CN"/>
        </w:rPr>
      </w:pPr>
    </w:p>
    <w:p>
      <w:pPr>
        <w:pStyle w:val="2"/>
        <w:spacing w:before="4"/>
        <w:ind w:left="763"/>
      </w:pPr>
      <w:r>
        <w:t>（三）跟蹤檢查績效表現</w:t>
      </w:r>
    </w:p>
    <w:p>
      <w:pPr>
        <w:pStyle w:val="2"/>
        <w:spacing w:before="168" w:line="338" w:lineRule="auto"/>
        <w:ind w:right="235" w:firstLine="640"/>
      </w:pPr>
      <w:r>
        <w:t>對考核期內的員工績效水平動態監測，並及時將績效表現情況反映給被考核者，以期能及時提高員工績效水平。</w:t>
      </w:r>
    </w:p>
    <w:p>
      <w:pPr>
        <w:pStyle w:val="2"/>
        <w:spacing w:before="1"/>
        <w:ind w:left="763"/>
      </w:pPr>
      <w:r>
        <w:t>（四）協同指標。由</w:t>
      </w:r>
      <w:r>
        <w:rPr>
          <w:rFonts w:hint="eastAsia"/>
          <w:lang w:eastAsia="zh-CN"/>
        </w:rPr>
        <w:t>人力資源部</w:t>
      </w:r>
      <w:r>
        <w:t>統一組織考核。</w:t>
      </w:r>
    </w:p>
    <w:p>
      <w:pPr>
        <w:pStyle w:val="2"/>
        <w:spacing w:before="171"/>
        <w:ind w:left="3" w:leftChars="0" w:firstLine="758" w:firstLineChars="237"/>
        <w:rPr>
          <w:rFonts w:hint="eastAsia"/>
        </w:rPr>
      </w:pPr>
      <w:r>
        <w:t>（五）加分申請表，如有加分情況，由各部門負責人籤</w:t>
      </w:r>
      <w:r>
        <w:rPr>
          <w:rFonts w:hint="eastAsia"/>
        </w:rPr>
        <w:t>字後報備</w:t>
      </w:r>
      <w:r>
        <w:rPr>
          <w:rFonts w:hint="eastAsia"/>
          <w:lang w:eastAsia="zh-CN"/>
        </w:rPr>
        <w:t>人力資源部</w:t>
      </w:r>
      <w:r>
        <w:rPr>
          <w:rFonts w:hint="eastAsia"/>
        </w:rPr>
        <w:t>。</w:t>
      </w:r>
    </w:p>
    <w:p>
      <w:pPr>
        <w:pStyle w:val="2"/>
        <w:spacing w:before="171"/>
        <w:ind w:left="763"/>
        <w:rPr>
          <w:rFonts w:hint="eastAsia"/>
        </w:rPr>
      </w:pPr>
      <w:r>
        <w:rPr>
          <w:rFonts w:hint="eastAsia"/>
        </w:rPr>
        <w:t>（六）績效面談</w:t>
      </w:r>
    </w:p>
    <w:p>
      <w:pPr>
        <w:pStyle w:val="2"/>
        <w:spacing w:before="171"/>
        <w:ind w:left="763"/>
        <w:rPr>
          <w:rFonts w:hint="eastAsia"/>
        </w:rPr>
      </w:pPr>
      <w:r>
        <w:rPr>
          <w:rFonts w:hint="eastAsia"/>
        </w:rPr>
        <w:t>1.收集績效資訊</w:t>
      </w:r>
    </w:p>
    <w:p>
      <w:pPr>
        <w:pStyle w:val="2"/>
        <w:spacing w:before="168" w:line="338" w:lineRule="auto"/>
        <w:ind w:right="235" w:firstLine="640"/>
        <w:rPr>
          <w:rFonts w:hint="eastAsia"/>
        </w:rPr>
      </w:pPr>
      <w:r>
        <w:rPr>
          <w:rFonts w:hint="eastAsia"/>
        </w:rPr>
        <w:t>（1）被考核者：依據績效考核表中設定的內容，回顧個人考核期間的工作情況，並在考核表中先進行自評。工作成果要儘可能量化，專案管理則需要將專案完成進度加以描述，並自評分數。</w:t>
      </w:r>
    </w:p>
    <w:p>
      <w:pPr>
        <w:pStyle w:val="2"/>
        <w:numPr>
          <w:ilvl w:val="0"/>
          <w:numId w:val="2"/>
        </w:numPr>
        <w:spacing w:before="171"/>
        <w:ind w:left="223" w:leftChars="0" w:firstLine="537" w:firstLineChars="168"/>
        <w:rPr>
          <w:rFonts w:hint="eastAsia"/>
        </w:rPr>
      </w:pPr>
      <w:r>
        <w:rPr>
          <w:rFonts w:hint="eastAsia"/>
        </w:rPr>
        <w:t>考核者：部門負責人與下屬約定好績效面談的時間，回顧下屬在考核期間的工作情況，並對其工作態度與知識技能上的優缺點進行回顧記錄。</w:t>
      </w:r>
    </w:p>
    <w:p>
      <w:pPr>
        <w:pStyle w:val="2"/>
        <w:spacing w:before="171"/>
        <w:ind w:left="763"/>
        <w:rPr>
          <w:rFonts w:hint="eastAsia"/>
        </w:rPr>
      </w:pPr>
      <w:r>
        <w:rPr>
          <w:rFonts w:hint="eastAsia"/>
        </w:rPr>
        <w:t>2.執行面談。</w:t>
      </w:r>
    </w:p>
    <w:p>
      <w:pPr>
        <w:pStyle w:val="2"/>
        <w:spacing w:before="171"/>
        <w:ind w:firstLine="640" w:firstLineChars="200"/>
        <w:rPr>
          <w:rFonts w:hint="eastAsia"/>
        </w:rPr>
      </w:pPr>
      <w:r>
        <w:rPr>
          <w:rFonts w:hint="eastAsia"/>
        </w:rPr>
        <w:t>3.完成面談後，由部門負責人最終確定被考核人的分數，被考核人在考核表上簽字確認，並呈板塊負責人、部門負責人、分管主管簽字認可。</w:t>
      </w:r>
    </w:p>
    <w:p>
      <w:pPr>
        <w:pStyle w:val="2"/>
        <w:spacing w:before="171"/>
        <w:ind w:left="763"/>
        <w:rPr>
          <w:rFonts w:hint="eastAsia"/>
        </w:rPr>
      </w:pPr>
      <w:r>
        <w:rPr>
          <w:rFonts w:hint="eastAsia"/>
        </w:rPr>
        <w:t>（七）確定考核成績</w:t>
      </w:r>
    </w:p>
    <w:p>
      <w:pPr>
        <w:pStyle w:val="2"/>
        <w:spacing w:before="171"/>
        <w:ind w:firstLine="640" w:firstLineChars="200"/>
        <w:rPr>
          <w:rFonts w:hint="eastAsia"/>
        </w:rPr>
      </w:pPr>
      <w:r>
        <w:rPr>
          <w:rFonts w:hint="eastAsia"/>
        </w:rPr>
        <w:t>各部門進行成績彙總，即“</w:t>
      </w:r>
      <w:r>
        <w:rPr>
          <w:rFonts w:hint="eastAsia"/>
          <w:lang w:eastAsia="zh-CN"/>
        </w:rPr>
        <w:t>多維度</w:t>
      </w:r>
      <w:r>
        <w:rPr>
          <w:rFonts w:hint="eastAsia"/>
        </w:rPr>
        <w:t>”績效考核體系合計成績，按方案要求劃分等級後按考核時間要求及時向人力資源本部報備。</w:t>
      </w:r>
    </w:p>
    <w:p>
      <w:pPr>
        <w:pStyle w:val="2"/>
        <w:spacing w:before="171"/>
        <w:ind w:left="223" w:leftChars="0" w:firstLine="537" w:firstLineChars="168"/>
        <w:rPr>
          <w:rFonts w:hint="eastAsia"/>
        </w:rPr>
      </w:pPr>
      <w:r>
        <w:rPr>
          <w:rFonts w:hint="eastAsia"/>
        </w:rPr>
        <w:t>（八）年度考核。在績效面談後，填寫《年度績效考核表》，及《年度考核彙總表》，部門負責人、分管主管簽字後於 1 月 20 日前報</w:t>
      </w:r>
      <w:r>
        <w:rPr>
          <w:rFonts w:hint="eastAsia"/>
          <w:lang w:eastAsia="zh-CN"/>
        </w:rPr>
        <w:t>人力資源部</w:t>
      </w:r>
      <w:r>
        <w:rPr>
          <w:rFonts w:hint="eastAsia"/>
        </w:rPr>
        <w:t>。</w:t>
      </w:r>
    </w:p>
    <w:p>
      <w:pPr>
        <w:pStyle w:val="2"/>
        <w:spacing w:before="171"/>
        <w:ind w:left="763"/>
        <w:rPr>
          <w:rFonts w:hint="eastAsia"/>
        </w:rPr>
      </w:pPr>
      <w:r>
        <w:rPr>
          <w:rFonts w:hint="eastAsia"/>
        </w:rPr>
        <w:t>第七章 績效結果及運用</w:t>
      </w:r>
    </w:p>
    <w:p>
      <w:pPr>
        <w:pStyle w:val="2"/>
        <w:spacing w:before="171"/>
        <w:ind w:firstLine="640" w:firstLineChars="200"/>
        <w:rPr>
          <w:rFonts w:hint="eastAsia"/>
        </w:rPr>
      </w:pPr>
      <w:r>
        <w:rPr>
          <w:rFonts w:hint="eastAsia"/>
        </w:rPr>
        <w:t>第十三條 季度考核按照員工績效考核實際得分進行評價，不對員工進行橫向比較，年終考核按照強制排序法，對員工的績效進行正態分佈。這樣可以讓員工在日常工作中對績效目標的設定更加符合實際，年度考核體現員工績效對比</w:t>
      </w:r>
    </w:p>
    <w:p>
      <w:pPr>
        <w:pStyle w:val="2"/>
        <w:spacing w:before="171"/>
        <w:rPr>
          <w:rFonts w:hint="eastAsia"/>
        </w:rPr>
      </w:pPr>
      <w:r>
        <w:rPr>
          <w:rFonts w:hint="eastAsia"/>
        </w:rPr>
        <w:t>的目的。</w:t>
      </w:r>
    </w:p>
    <w:p>
      <w:pPr>
        <w:pStyle w:val="2"/>
        <w:spacing w:before="171"/>
        <w:ind w:left="763"/>
        <w:rPr>
          <w:rFonts w:hint="eastAsia"/>
        </w:rPr>
      </w:pPr>
      <w:r>
        <w:rPr>
          <w:rFonts w:hint="eastAsia"/>
        </w:rPr>
        <w:t>第十四條 績效考核成績與績效薪金掛鉤</w:t>
      </w:r>
    </w:p>
    <w:p>
      <w:pPr>
        <w:pStyle w:val="2"/>
        <w:spacing w:before="171"/>
        <w:ind w:left="763"/>
        <w:rPr>
          <w:rFonts w:hint="eastAsia"/>
        </w:rPr>
      </w:pPr>
      <w:r>
        <w:rPr>
          <w:rFonts w:hint="eastAsia"/>
        </w:rPr>
        <w:t>（一）效益獎金</w:t>
      </w:r>
    </w:p>
    <w:p>
      <w:pPr>
        <w:pStyle w:val="2"/>
        <w:keepNext w:val="0"/>
        <w:keepLines w:val="0"/>
        <w:pageBreakBefore w:val="0"/>
        <w:widowControl w:val="0"/>
        <w:kinsoku/>
        <w:wordWrap/>
        <w:overflowPunct/>
        <w:topLinePunct w:val="0"/>
        <w:autoSpaceDE w:val="0"/>
        <w:autoSpaceDN w:val="0"/>
        <w:bidi w:val="0"/>
        <w:adjustRightInd/>
        <w:snapToGrid/>
        <w:spacing w:before="171" w:line="600" w:lineRule="exact"/>
        <w:ind w:left="119" w:firstLine="640" w:firstLineChars="200"/>
        <w:textAlignment w:val="auto"/>
        <w:outlineLvl w:val="9"/>
        <w:rPr>
          <w:rFonts w:hint="eastAsia"/>
        </w:rPr>
      </w:pPr>
      <w:r>
        <w:rPr>
          <w:rFonts w:hint="eastAsia"/>
        </w:rPr>
        <w:t>效益獎金與企業效益掛鉤，實行季度考核。根據每季度單位效益得分計算出效益工資發放係數。效益獎金＝員工季度績效薪金基數×（季度效益工資發放係數-1）。</w:t>
      </w:r>
    </w:p>
    <w:p>
      <w:pPr>
        <w:pStyle w:val="2"/>
        <w:spacing w:before="171"/>
        <w:ind w:left="223" w:leftChars="0" w:firstLine="537" w:firstLineChars="168"/>
        <w:rPr>
          <w:rFonts w:hint="eastAsia"/>
        </w:rPr>
      </w:pPr>
      <w:r>
        <w:rPr>
          <w:rFonts w:hint="eastAsia"/>
        </w:rPr>
        <w:t>注：為避免出現不可控情況，計算的效益工資發放係數應在 0.9 到 1.5 之間。同時為解決每季度資料可能出現的特殊情況，該係數全年統算後補發差額。</w:t>
      </w:r>
    </w:p>
    <w:p>
      <w:pPr>
        <w:pStyle w:val="2"/>
        <w:spacing w:before="171"/>
        <w:ind w:left="763"/>
        <w:rPr>
          <w:rFonts w:hint="eastAsia"/>
        </w:rPr>
      </w:pPr>
      <w:r>
        <w:rPr>
          <w:rFonts w:hint="eastAsia"/>
        </w:rPr>
        <w:t>（二）績效獎金</w:t>
      </w:r>
    </w:p>
    <w:p>
      <w:pPr>
        <w:pStyle w:val="2"/>
        <w:spacing w:before="171"/>
        <w:ind w:firstLine="640" w:firstLineChars="200"/>
        <w:rPr>
          <w:rFonts w:hint="eastAsia"/>
        </w:rPr>
      </w:pPr>
      <w:r>
        <w:rPr>
          <w:rFonts w:hint="eastAsia"/>
        </w:rPr>
        <w:t>績效獎金與個人季度績效考核結果掛鉤。根據員工個人績效考核結果的不同確定績效係數。評價等級與績效係數的對應關係如表所示：</w:t>
      </w:r>
    </w:p>
    <w:tbl>
      <w:tblPr>
        <w:tblStyle w:val="5"/>
        <w:tblpPr w:leftFromText="180" w:rightFromText="180" w:vertAnchor="text" w:horzAnchor="page" w:tblpX="1380" w:tblpY="89"/>
        <w:tblOverlap w:val="never"/>
        <w:tblW w:w="966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55"/>
        <w:gridCol w:w="1785"/>
        <w:gridCol w:w="2325"/>
        <w:gridCol w:w="2460"/>
        <w:gridCol w:w="164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455" w:type="dxa"/>
          </w:tcPr>
          <w:p>
            <w:pPr>
              <w:pStyle w:val="2"/>
              <w:spacing w:before="171"/>
              <w:jc w:val="center"/>
              <w:rPr>
                <w:rFonts w:hint="eastAsia" w:eastAsia="仿宋"/>
                <w:sz w:val="24"/>
                <w:szCs w:val="24"/>
                <w:vertAlign w:val="baseline"/>
                <w:lang w:eastAsia="zh-CN"/>
              </w:rPr>
            </w:pPr>
            <w:r>
              <w:rPr>
                <w:rFonts w:hint="eastAsia"/>
                <w:sz w:val="24"/>
                <w:szCs w:val="24"/>
                <w:vertAlign w:val="baseline"/>
                <w:lang w:eastAsia="zh-CN"/>
              </w:rPr>
              <w:t>分值</w:t>
            </w:r>
          </w:p>
        </w:tc>
        <w:tc>
          <w:tcPr>
            <w:tcW w:w="1785" w:type="dxa"/>
          </w:tcPr>
          <w:p>
            <w:pPr>
              <w:pStyle w:val="2"/>
              <w:spacing w:before="171"/>
              <w:rPr>
                <w:rFonts w:hint="eastAsia" w:eastAsia="仿宋"/>
                <w:sz w:val="24"/>
                <w:szCs w:val="24"/>
                <w:vertAlign w:val="baseline"/>
                <w:lang w:val="en-US" w:eastAsia="zh-CN"/>
              </w:rPr>
            </w:pPr>
            <w:r>
              <w:rPr>
                <w:rFonts w:hint="eastAsia"/>
                <w:sz w:val="24"/>
                <w:szCs w:val="24"/>
                <w:vertAlign w:val="baseline"/>
                <w:lang w:eastAsia="zh-CN"/>
              </w:rPr>
              <w:t>得分≤</w:t>
            </w:r>
            <w:r>
              <w:rPr>
                <w:rFonts w:hint="eastAsia"/>
                <w:sz w:val="24"/>
                <w:szCs w:val="24"/>
                <w:vertAlign w:val="baseline"/>
                <w:lang w:val="en-US" w:eastAsia="zh-CN"/>
              </w:rPr>
              <w:t>70</w:t>
            </w:r>
          </w:p>
        </w:tc>
        <w:tc>
          <w:tcPr>
            <w:tcW w:w="2325" w:type="dxa"/>
          </w:tcPr>
          <w:p>
            <w:pPr>
              <w:pStyle w:val="2"/>
              <w:spacing w:before="171"/>
              <w:rPr>
                <w:rFonts w:hint="eastAsia" w:eastAsia="仿宋"/>
                <w:sz w:val="24"/>
                <w:szCs w:val="24"/>
                <w:vertAlign w:val="baseline"/>
                <w:lang w:val="en-US" w:eastAsia="zh-CN"/>
              </w:rPr>
            </w:pPr>
            <w:r>
              <w:rPr>
                <w:rFonts w:hint="eastAsia"/>
                <w:sz w:val="24"/>
                <w:szCs w:val="24"/>
                <w:vertAlign w:val="baseline"/>
                <w:lang w:val="en-US" w:eastAsia="zh-CN"/>
              </w:rPr>
              <w:t>70＜得分≤80</w:t>
            </w:r>
          </w:p>
        </w:tc>
        <w:tc>
          <w:tcPr>
            <w:tcW w:w="2460" w:type="dxa"/>
          </w:tcPr>
          <w:p>
            <w:pPr>
              <w:pStyle w:val="2"/>
              <w:spacing w:before="171"/>
              <w:rPr>
                <w:rFonts w:hint="eastAsia" w:eastAsia="仿宋"/>
                <w:sz w:val="24"/>
                <w:szCs w:val="24"/>
                <w:vertAlign w:val="baseline"/>
                <w:lang w:val="en-US" w:eastAsia="zh-CN"/>
              </w:rPr>
            </w:pPr>
            <w:r>
              <w:rPr>
                <w:rFonts w:hint="eastAsia"/>
                <w:sz w:val="24"/>
                <w:szCs w:val="24"/>
                <w:vertAlign w:val="baseline"/>
                <w:lang w:val="en-US" w:eastAsia="zh-CN"/>
              </w:rPr>
              <w:t>80＜得分≤90</w:t>
            </w:r>
          </w:p>
        </w:tc>
        <w:tc>
          <w:tcPr>
            <w:tcW w:w="1641" w:type="dxa"/>
          </w:tcPr>
          <w:p>
            <w:pPr>
              <w:pStyle w:val="2"/>
              <w:spacing w:before="171"/>
              <w:rPr>
                <w:rFonts w:hint="eastAsia" w:eastAsia="仿宋"/>
                <w:sz w:val="24"/>
                <w:szCs w:val="24"/>
                <w:vertAlign w:val="baseline"/>
                <w:lang w:val="en-US" w:eastAsia="zh-CN"/>
              </w:rPr>
            </w:pPr>
            <w:r>
              <w:rPr>
                <w:rFonts w:hint="eastAsia"/>
                <w:sz w:val="24"/>
                <w:szCs w:val="24"/>
                <w:vertAlign w:val="baseline"/>
                <w:lang w:val="en-US" w:eastAsia="zh-CN"/>
              </w:rPr>
              <w:t>90＜得分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455" w:type="dxa"/>
          </w:tcPr>
          <w:p>
            <w:pPr>
              <w:pStyle w:val="2"/>
              <w:spacing w:before="171"/>
              <w:ind w:firstLine="240" w:firstLineChars="100"/>
              <w:jc w:val="both"/>
              <w:rPr>
                <w:rFonts w:hint="eastAsia" w:eastAsia="仿宋"/>
                <w:sz w:val="24"/>
                <w:szCs w:val="24"/>
                <w:vertAlign w:val="baseline"/>
                <w:lang w:eastAsia="zh-CN"/>
              </w:rPr>
            </w:pPr>
            <w:r>
              <w:rPr>
                <w:rFonts w:hint="eastAsia"/>
                <w:sz w:val="24"/>
                <w:szCs w:val="24"/>
                <w:vertAlign w:val="baseline"/>
                <w:lang w:eastAsia="zh-CN"/>
              </w:rPr>
              <w:t>等級</w:t>
            </w:r>
          </w:p>
        </w:tc>
        <w:tc>
          <w:tcPr>
            <w:tcW w:w="1785" w:type="dxa"/>
          </w:tcPr>
          <w:p>
            <w:pPr>
              <w:pStyle w:val="2"/>
              <w:spacing w:before="171"/>
              <w:jc w:val="center"/>
              <w:rPr>
                <w:rFonts w:hint="eastAsia" w:eastAsia="仿宋"/>
                <w:sz w:val="24"/>
                <w:szCs w:val="24"/>
                <w:vertAlign w:val="baseline"/>
                <w:lang w:val="en-US" w:eastAsia="zh-CN"/>
              </w:rPr>
            </w:pPr>
            <w:r>
              <w:rPr>
                <w:rFonts w:hint="eastAsia"/>
                <w:sz w:val="24"/>
                <w:szCs w:val="24"/>
                <w:vertAlign w:val="baseline"/>
                <w:lang w:val="en-US" w:eastAsia="zh-CN"/>
              </w:rPr>
              <w:t>D</w:t>
            </w:r>
          </w:p>
        </w:tc>
        <w:tc>
          <w:tcPr>
            <w:tcW w:w="2325" w:type="dxa"/>
          </w:tcPr>
          <w:p>
            <w:pPr>
              <w:pStyle w:val="2"/>
              <w:spacing w:before="171"/>
              <w:jc w:val="center"/>
              <w:rPr>
                <w:rFonts w:hint="eastAsia" w:eastAsia="仿宋"/>
                <w:sz w:val="24"/>
                <w:szCs w:val="24"/>
                <w:vertAlign w:val="baseline"/>
                <w:lang w:val="en-US" w:eastAsia="zh-CN"/>
              </w:rPr>
            </w:pPr>
            <w:r>
              <w:rPr>
                <w:rFonts w:hint="eastAsia"/>
                <w:sz w:val="24"/>
                <w:szCs w:val="24"/>
                <w:vertAlign w:val="baseline"/>
                <w:lang w:val="en-US" w:eastAsia="zh-CN"/>
              </w:rPr>
              <w:t>C</w:t>
            </w:r>
          </w:p>
        </w:tc>
        <w:tc>
          <w:tcPr>
            <w:tcW w:w="2460" w:type="dxa"/>
          </w:tcPr>
          <w:p>
            <w:pPr>
              <w:pStyle w:val="2"/>
              <w:spacing w:before="171"/>
              <w:jc w:val="center"/>
              <w:rPr>
                <w:rFonts w:hint="eastAsia" w:eastAsia="仿宋"/>
                <w:sz w:val="24"/>
                <w:szCs w:val="24"/>
                <w:vertAlign w:val="baseline"/>
                <w:lang w:val="en-US" w:eastAsia="zh-CN"/>
              </w:rPr>
            </w:pPr>
            <w:r>
              <w:rPr>
                <w:rFonts w:hint="eastAsia"/>
                <w:sz w:val="24"/>
                <w:szCs w:val="24"/>
                <w:vertAlign w:val="baseline"/>
                <w:lang w:val="en-US" w:eastAsia="zh-CN"/>
              </w:rPr>
              <w:t>B</w:t>
            </w:r>
          </w:p>
        </w:tc>
        <w:tc>
          <w:tcPr>
            <w:tcW w:w="1641" w:type="dxa"/>
          </w:tcPr>
          <w:p>
            <w:pPr>
              <w:pStyle w:val="2"/>
              <w:spacing w:before="171"/>
              <w:jc w:val="center"/>
              <w:rPr>
                <w:rFonts w:hint="eastAsia" w:eastAsia="仿宋"/>
                <w:sz w:val="24"/>
                <w:szCs w:val="24"/>
                <w:vertAlign w:val="baseline"/>
                <w:lang w:val="en-US" w:eastAsia="zh-CN"/>
              </w:rPr>
            </w:pPr>
            <w:r>
              <w:rPr>
                <w:rFonts w:hint="eastAsia"/>
                <w:sz w:val="24"/>
                <w:szCs w:val="24"/>
                <w:vertAlign w:val="baseline"/>
                <w:lang w:val="en-US" w:eastAsia="zh-CN"/>
              </w:rPr>
              <w:t>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455" w:type="dxa"/>
          </w:tcPr>
          <w:p>
            <w:pPr>
              <w:pStyle w:val="2"/>
              <w:spacing w:before="171"/>
              <w:jc w:val="center"/>
              <w:rPr>
                <w:rFonts w:hint="eastAsia" w:eastAsia="仿宋"/>
                <w:sz w:val="24"/>
                <w:szCs w:val="24"/>
                <w:vertAlign w:val="baseline"/>
                <w:lang w:eastAsia="zh-CN"/>
              </w:rPr>
            </w:pPr>
            <w:r>
              <w:rPr>
                <w:rFonts w:hint="eastAsia"/>
                <w:sz w:val="24"/>
                <w:szCs w:val="24"/>
                <w:vertAlign w:val="baseline"/>
                <w:lang w:eastAsia="zh-CN"/>
              </w:rPr>
              <w:t>係數</w:t>
            </w:r>
          </w:p>
        </w:tc>
        <w:tc>
          <w:tcPr>
            <w:tcW w:w="1785" w:type="dxa"/>
          </w:tcPr>
          <w:p>
            <w:pPr>
              <w:pStyle w:val="2"/>
              <w:spacing w:before="171"/>
              <w:jc w:val="center"/>
              <w:rPr>
                <w:rFonts w:hint="eastAsia" w:eastAsia="仿宋"/>
                <w:sz w:val="24"/>
                <w:szCs w:val="24"/>
                <w:vertAlign w:val="baseline"/>
                <w:lang w:val="en-US" w:eastAsia="zh-CN"/>
              </w:rPr>
            </w:pPr>
            <w:r>
              <w:rPr>
                <w:rFonts w:hint="eastAsia"/>
                <w:sz w:val="24"/>
                <w:szCs w:val="24"/>
                <w:vertAlign w:val="baseline"/>
                <w:lang w:val="en-US" w:eastAsia="zh-CN"/>
              </w:rPr>
              <w:t>0.9</w:t>
            </w:r>
          </w:p>
        </w:tc>
        <w:tc>
          <w:tcPr>
            <w:tcW w:w="2325" w:type="dxa"/>
          </w:tcPr>
          <w:p>
            <w:pPr>
              <w:pStyle w:val="2"/>
              <w:spacing w:before="171"/>
              <w:jc w:val="center"/>
              <w:rPr>
                <w:rFonts w:hint="eastAsia" w:eastAsia="仿宋"/>
                <w:sz w:val="24"/>
                <w:szCs w:val="24"/>
                <w:vertAlign w:val="baseline"/>
                <w:lang w:val="en-US" w:eastAsia="zh-CN"/>
              </w:rPr>
            </w:pPr>
            <w:r>
              <w:rPr>
                <w:rFonts w:hint="eastAsia"/>
                <w:sz w:val="24"/>
                <w:szCs w:val="24"/>
                <w:vertAlign w:val="baseline"/>
                <w:lang w:val="en-US" w:eastAsia="zh-CN"/>
              </w:rPr>
              <w:t>1</w:t>
            </w:r>
          </w:p>
        </w:tc>
        <w:tc>
          <w:tcPr>
            <w:tcW w:w="2460" w:type="dxa"/>
          </w:tcPr>
          <w:p>
            <w:pPr>
              <w:pStyle w:val="2"/>
              <w:spacing w:before="171"/>
              <w:jc w:val="center"/>
              <w:rPr>
                <w:rFonts w:hint="eastAsia" w:eastAsia="仿宋"/>
                <w:sz w:val="24"/>
                <w:szCs w:val="24"/>
                <w:vertAlign w:val="baseline"/>
                <w:lang w:val="en-US" w:eastAsia="zh-CN"/>
              </w:rPr>
            </w:pPr>
            <w:r>
              <w:rPr>
                <w:rFonts w:hint="eastAsia"/>
                <w:sz w:val="24"/>
                <w:szCs w:val="24"/>
                <w:vertAlign w:val="baseline"/>
                <w:lang w:val="en-US" w:eastAsia="zh-CN"/>
              </w:rPr>
              <w:t>1.1</w:t>
            </w:r>
          </w:p>
        </w:tc>
        <w:tc>
          <w:tcPr>
            <w:tcW w:w="1641" w:type="dxa"/>
          </w:tcPr>
          <w:p>
            <w:pPr>
              <w:pStyle w:val="2"/>
              <w:spacing w:before="171"/>
              <w:jc w:val="center"/>
              <w:rPr>
                <w:rFonts w:hint="eastAsia" w:eastAsia="仿宋"/>
                <w:sz w:val="24"/>
                <w:szCs w:val="24"/>
                <w:vertAlign w:val="baseline"/>
                <w:lang w:val="en-US" w:eastAsia="zh-CN"/>
              </w:rPr>
            </w:pPr>
            <w:r>
              <w:rPr>
                <w:rFonts w:hint="eastAsia"/>
                <w:sz w:val="24"/>
                <w:szCs w:val="24"/>
                <w:vertAlign w:val="baseline"/>
                <w:lang w:val="en-US" w:eastAsia="zh-CN"/>
              </w:rPr>
              <w:t>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455" w:type="dxa"/>
          </w:tcPr>
          <w:p>
            <w:pPr>
              <w:pStyle w:val="2"/>
              <w:spacing w:before="171"/>
              <w:jc w:val="center"/>
              <w:rPr>
                <w:rFonts w:hint="eastAsia" w:eastAsia="仿宋"/>
                <w:sz w:val="24"/>
                <w:szCs w:val="24"/>
                <w:vertAlign w:val="baseline"/>
                <w:lang w:eastAsia="zh-CN"/>
              </w:rPr>
            </w:pPr>
            <w:r>
              <w:rPr>
                <w:rFonts w:hint="eastAsia"/>
                <w:sz w:val="24"/>
                <w:szCs w:val="24"/>
                <w:vertAlign w:val="baseline"/>
                <w:lang w:eastAsia="zh-CN"/>
              </w:rPr>
              <w:t>結果</w:t>
            </w:r>
          </w:p>
        </w:tc>
        <w:tc>
          <w:tcPr>
            <w:tcW w:w="1785" w:type="dxa"/>
          </w:tcPr>
          <w:p>
            <w:pPr>
              <w:pStyle w:val="2"/>
              <w:spacing w:before="171"/>
              <w:jc w:val="center"/>
              <w:rPr>
                <w:rFonts w:hint="eastAsia" w:eastAsia="仿宋"/>
                <w:sz w:val="24"/>
                <w:szCs w:val="24"/>
                <w:vertAlign w:val="baseline"/>
                <w:lang w:eastAsia="zh-CN"/>
              </w:rPr>
            </w:pPr>
            <w:r>
              <w:rPr>
                <w:rFonts w:hint="eastAsia"/>
                <w:sz w:val="24"/>
                <w:szCs w:val="24"/>
                <w:vertAlign w:val="baseline"/>
                <w:lang w:eastAsia="zh-CN"/>
              </w:rPr>
              <w:t>待改進</w:t>
            </w:r>
          </w:p>
        </w:tc>
        <w:tc>
          <w:tcPr>
            <w:tcW w:w="2325" w:type="dxa"/>
          </w:tcPr>
          <w:p>
            <w:pPr>
              <w:pStyle w:val="2"/>
              <w:spacing w:before="171"/>
              <w:jc w:val="center"/>
              <w:rPr>
                <w:rFonts w:hint="eastAsia" w:eastAsia="仿宋"/>
                <w:sz w:val="24"/>
                <w:szCs w:val="24"/>
                <w:vertAlign w:val="baseline"/>
                <w:lang w:eastAsia="zh-CN"/>
              </w:rPr>
            </w:pPr>
            <w:r>
              <w:rPr>
                <w:rFonts w:hint="eastAsia"/>
                <w:sz w:val="24"/>
                <w:szCs w:val="24"/>
                <w:vertAlign w:val="baseline"/>
                <w:lang w:eastAsia="zh-CN"/>
              </w:rPr>
              <w:t>合格</w:t>
            </w:r>
          </w:p>
        </w:tc>
        <w:tc>
          <w:tcPr>
            <w:tcW w:w="2460" w:type="dxa"/>
          </w:tcPr>
          <w:p>
            <w:pPr>
              <w:pStyle w:val="2"/>
              <w:spacing w:before="171"/>
              <w:jc w:val="center"/>
              <w:rPr>
                <w:rFonts w:hint="eastAsia" w:eastAsia="仿宋"/>
                <w:sz w:val="24"/>
                <w:szCs w:val="24"/>
                <w:vertAlign w:val="baseline"/>
                <w:lang w:eastAsia="zh-CN"/>
              </w:rPr>
            </w:pPr>
            <w:r>
              <w:rPr>
                <w:rFonts w:hint="eastAsia"/>
                <w:sz w:val="24"/>
                <w:szCs w:val="24"/>
                <w:vertAlign w:val="baseline"/>
                <w:lang w:eastAsia="zh-CN"/>
              </w:rPr>
              <w:t>良好</w:t>
            </w:r>
          </w:p>
        </w:tc>
        <w:tc>
          <w:tcPr>
            <w:tcW w:w="1641" w:type="dxa"/>
          </w:tcPr>
          <w:p>
            <w:pPr>
              <w:pStyle w:val="2"/>
              <w:spacing w:before="171"/>
              <w:jc w:val="center"/>
              <w:rPr>
                <w:rFonts w:hint="eastAsia" w:eastAsia="仿宋"/>
                <w:sz w:val="24"/>
                <w:szCs w:val="24"/>
                <w:vertAlign w:val="baseline"/>
                <w:lang w:eastAsia="zh-CN"/>
              </w:rPr>
            </w:pPr>
            <w:r>
              <w:rPr>
                <w:rFonts w:hint="eastAsia"/>
                <w:sz w:val="24"/>
                <w:szCs w:val="24"/>
                <w:vertAlign w:val="baseline"/>
                <w:lang w:eastAsia="zh-CN"/>
              </w:rPr>
              <w:t>優秀</w:t>
            </w:r>
          </w:p>
        </w:tc>
      </w:tr>
    </w:tbl>
    <w:p>
      <w:pPr>
        <w:pStyle w:val="2"/>
        <w:spacing w:before="171"/>
        <w:ind w:left="0" w:leftChars="0" w:firstLine="0" w:firstLineChars="0"/>
        <w:rPr>
          <w:rFonts w:hint="eastAsia"/>
        </w:rPr>
      </w:pPr>
      <w:r>
        <w:rPr>
          <w:rFonts w:hint="eastAsia"/>
          <w:lang w:eastAsia="zh-CN"/>
        </w:rPr>
        <w:t>注：</w:t>
      </w:r>
      <w:r>
        <w:rPr>
          <w:rFonts w:hint="eastAsia"/>
        </w:rPr>
        <w:t>績效獎金=員工</w:t>
      </w:r>
      <w:r>
        <w:rPr>
          <w:rFonts w:hint="eastAsia"/>
          <w:lang w:eastAsia="zh-CN"/>
        </w:rPr>
        <w:t>月</w:t>
      </w:r>
      <w:r>
        <w:rPr>
          <w:rFonts w:hint="eastAsia"/>
        </w:rPr>
        <w:t>度績效薪金基數×（</w:t>
      </w:r>
      <w:r>
        <w:rPr>
          <w:rFonts w:hint="eastAsia"/>
          <w:lang w:eastAsia="zh-CN"/>
        </w:rPr>
        <w:t>月</w:t>
      </w:r>
      <w:r>
        <w:rPr>
          <w:rFonts w:hint="eastAsia"/>
        </w:rPr>
        <w:t>度績效係數-1）</w:t>
      </w:r>
      <w:r>
        <w:rPr>
          <w:rFonts w:hint="eastAsia"/>
          <w:lang w:eastAsia="zh-CN"/>
        </w:rPr>
        <w:t>月底</w:t>
      </w:r>
      <w:r>
        <w:rPr>
          <w:rFonts w:hint="eastAsia"/>
        </w:rPr>
        <w:t>績效獎金，次</w:t>
      </w:r>
      <w:r>
        <w:rPr>
          <w:rFonts w:hint="eastAsia"/>
          <w:lang w:eastAsia="zh-CN"/>
        </w:rPr>
        <w:t>月發放</w:t>
      </w:r>
      <w:r>
        <w:rPr>
          <w:rFonts w:hint="eastAsia"/>
        </w:rPr>
        <w:t>。</w:t>
      </w:r>
    </w:p>
    <w:p>
      <w:pPr>
        <w:pStyle w:val="2"/>
        <w:spacing w:before="171"/>
        <w:ind w:left="763"/>
        <w:rPr>
          <w:rFonts w:hint="eastAsia"/>
        </w:rPr>
      </w:pPr>
      <w:r>
        <w:rPr>
          <w:rFonts w:hint="eastAsia"/>
        </w:rPr>
        <w:t>第十五條 年度績效考核結果及運用</w:t>
      </w:r>
    </w:p>
    <w:p>
      <w:pPr>
        <w:pStyle w:val="2"/>
        <w:keepNext w:val="0"/>
        <w:keepLines w:val="0"/>
        <w:pageBreakBefore w:val="0"/>
        <w:widowControl w:val="0"/>
        <w:kinsoku/>
        <w:wordWrap/>
        <w:overflowPunct/>
        <w:topLinePunct w:val="0"/>
        <w:autoSpaceDE w:val="0"/>
        <w:autoSpaceDN w:val="0"/>
        <w:bidi w:val="0"/>
        <w:adjustRightInd/>
        <w:snapToGrid/>
        <w:spacing w:before="171" w:line="600" w:lineRule="exact"/>
        <w:ind w:left="119" w:firstLine="640" w:firstLineChars="200"/>
        <w:textAlignment w:val="auto"/>
        <w:outlineLvl w:val="9"/>
        <w:rPr>
          <w:rFonts w:hint="eastAsia"/>
        </w:rPr>
      </w:pPr>
      <w:r>
        <w:rPr>
          <w:rFonts w:hint="eastAsia"/>
        </w:rPr>
        <w:t>年度績效考核成績=</w:t>
      </w:r>
      <w:r>
        <w:rPr>
          <w:rFonts w:hint="eastAsia"/>
          <w:lang w:val="en-US" w:eastAsia="zh-CN"/>
        </w:rPr>
        <w:t>12個月度</w:t>
      </w:r>
      <w:r>
        <w:rPr>
          <w:rFonts w:hint="eastAsia"/>
        </w:rPr>
        <w:t>績效考核成績之和</w:t>
      </w:r>
      <w:r>
        <w:rPr>
          <w:rFonts w:hint="eastAsia"/>
          <w:lang w:val="en-US" w:eastAsia="zh-CN"/>
        </w:rPr>
        <w:t>÷12</w:t>
      </w:r>
      <w:r>
        <w:rPr>
          <w:rFonts w:hint="eastAsia"/>
        </w:rPr>
        <w:t>參照年度績效考核成績，平衡各版塊打分誤差後，由部分負責人按比例劃分 A、B、C、D 等級後報分管主管確認，報</w:t>
      </w:r>
      <w:r>
        <w:rPr>
          <w:rFonts w:hint="eastAsia"/>
          <w:lang w:eastAsia="zh-CN"/>
        </w:rPr>
        <w:t>人力資源部</w:t>
      </w:r>
      <w:r>
        <w:rPr>
          <w:rFonts w:hint="eastAsia"/>
        </w:rPr>
        <w:t>備案。原則上各部門員工年度績效考核成績按照參與考核總人數 2:6:2 的比例進行強制分佈，分別對應 A（20%）、B（</w:t>
      </w:r>
      <w:r>
        <w:rPr>
          <w:rFonts w:hint="eastAsia"/>
          <w:lang w:val="en-US" w:eastAsia="zh-CN"/>
        </w:rPr>
        <w:t>40</w:t>
      </w:r>
      <w:r>
        <w:rPr>
          <w:rFonts w:hint="eastAsia"/>
        </w:rPr>
        <w:t>%）、C</w:t>
      </w:r>
      <w:r>
        <w:rPr>
          <w:rFonts w:hint="eastAsia"/>
          <w:lang w:eastAsia="zh-CN"/>
        </w:rPr>
        <w:t>（</w:t>
      </w:r>
      <w:r>
        <w:rPr>
          <w:rFonts w:hint="eastAsia"/>
          <w:lang w:val="en-US" w:eastAsia="zh-CN"/>
        </w:rPr>
        <w:t>20%</w:t>
      </w:r>
      <w:r>
        <w:rPr>
          <w:rFonts w:hint="eastAsia"/>
          <w:lang w:eastAsia="zh-CN"/>
        </w:rPr>
        <w:t>）</w:t>
      </w:r>
      <w:r>
        <w:rPr>
          <w:rFonts w:hint="eastAsia"/>
        </w:rPr>
        <w:t>、D（</w:t>
      </w:r>
      <w:r>
        <w:rPr>
          <w:rFonts w:hint="eastAsia"/>
          <w:lang w:val="en-US" w:eastAsia="zh-CN"/>
        </w:rPr>
        <w:t>1</w:t>
      </w:r>
      <w:r>
        <w:rPr>
          <w:rFonts w:hint="eastAsia"/>
        </w:rPr>
        <w:t>0%）的考核結果；其中，四個季度平均考核成績低於 70 分或綜合表現較差的考核為 D。</w:t>
      </w:r>
    </w:p>
    <w:p>
      <w:pPr>
        <w:pStyle w:val="2"/>
        <w:spacing w:before="171"/>
        <w:jc w:val="center"/>
      </w:pPr>
      <w:r>
        <w:rPr>
          <w:rFonts w:hint="eastAsia"/>
        </w:rPr>
        <w:t>年度績效結果晉</w:t>
      </w:r>
      <w:r>
        <w:rPr>
          <w:rFonts w:hint="eastAsia"/>
          <w:lang w:eastAsia="zh-CN"/>
        </w:rPr>
        <w:t>級</w:t>
      </w:r>
      <w:r>
        <w:rPr>
          <w:rFonts w:hint="eastAsia"/>
        </w:rPr>
        <w:t>標準</w:t>
      </w:r>
    </w:p>
    <w:tbl>
      <w:tblPr>
        <w:tblStyle w:val="5"/>
        <w:tblW w:w="892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81"/>
        <w:gridCol w:w="1215"/>
        <w:gridCol w:w="593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781" w:type="dxa"/>
          </w:tcPr>
          <w:p>
            <w:pPr>
              <w:pStyle w:val="2"/>
              <w:spacing w:before="171"/>
              <w:rPr>
                <w:rFonts w:hint="eastAsia" w:eastAsia="仿宋"/>
                <w:vertAlign w:val="baseline"/>
                <w:lang w:eastAsia="zh-CN"/>
              </w:rPr>
            </w:pPr>
            <w:r>
              <w:rPr>
                <w:rFonts w:hint="eastAsia"/>
                <w:sz w:val="24"/>
                <w:szCs w:val="24"/>
                <w:vertAlign w:val="baseline"/>
                <w:lang w:eastAsia="zh-CN"/>
              </w:rPr>
              <w:t>年度績效結果</w:t>
            </w:r>
          </w:p>
        </w:tc>
        <w:tc>
          <w:tcPr>
            <w:tcW w:w="1215" w:type="dxa"/>
          </w:tcPr>
          <w:p>
            <w:pPr>
              <w:pStyle w:val="2"/>
              <w:spacing w:before="171"/>
              <w:rPr>
                <w:rFonts w:hint="eastAsia" w:eastAsia="仿宋"/>
                <w:sz w:val="24"/>
                <w:szCs w:val="24"/>
                <w:vertAlign w:val="baseline"/>
                <w:lang w:eastAsia="zh-CN"/>
              </w:rPr>
            </w:pPr>
            <w:r>
              <w:rPr>
                <w:rFonts w:hint="eastAsia"/>
                <w:sz w:val="24"/>
                <w:szCs w:val="24"/>
                <w:vertAlign w:val="baseline"/>
                <w:lang w:eastAsia="zh-CN"/>
              </w:rPr>
              <w:t>比例</w:t>
            </w:r>
          </w:p>
        </w:tc>
        <w:tc>
          <w:tcPr>
            <w:tcW w:w="5930" w:type="dxa"/>
          </w:tcPr>
          <w:p>
            <w:pPr>
              <w:pStyle w:val="2"/>
              <w:spacing w:before="171"/>
              <w:rPr>
                <w:rFonts w:hint="eastAsia" w:eastAsia="仿宋"/>
                <w:sz w:val="24"/>
                <w:szCs w:val="24"/>
                <w:vertAlign w:val="baseline"/>
                <w:lang w:eastAsia="zh-CN"/>
              </w:rPr>
            </w:pPr>
            <w:r>
              <w:rPr>
                <w:rFonts w:hint="eastAsia"/>
                <w:sz w:val="24"/>
                <w:szCs w:val="24"/>
                <w:vertAlign w:val="baseline"/>
                <w:lang w:eastAsia="zh-CN"/>
              </w:rPr>
              <w:t>晉級標準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781" w:type="dxa"/>
          </w:tcPr>
          <w:p>
            <w:pPr>
              <w:pStyle w:val="2"/>
              <w:spacing w:before="171"/>
              <w:rPr>
                <w:rFonts w:hint="eastAsia" w:eastAsia="仿宋"/>
                <w:sz w:val="24"/>
                <w:szCs w:val="24"/>
                <w:vertAlign w:val="baseline"/>
                <w:lang w:val="en-US" w:eastAsia="zh-CN"/>
              </w:rPr>
            </w:pPr>
            <w:r>
              <w:rPr>
                <w:rFonts w:hint="eastAsia"/>
                <w:sz w:val="24"/>
                <w:szCs w:val="24"/>
                <w:vertAlign w:val="baseline"/>
                <w:lang w:val="en-US" w:eastAsia="zh-CN"/>
              </w:rPr>
              <w:t>A</w:t>
            </w:r>
          </w:p>
        </w:tc>
        <w:tc>
          <w:tcPr>
            <w:tcW w:w="1215" w:type="dxa"/>
          </w:tcPr>
          <w:p>
            <w:pPr>
              <w:pStyle w:val="2"/>
              <w:spacing w:before="171"/>
              <w:rPr>
                <w:rFonts w:hint="eastAsia" w:eastAsia="仿宋"/>
                <w:sz w:val="24"/>
                <w:szCs w:val="24"/>
                <w:vertAlign w:val="baseline"/>
                <w:lang w:val="en-US" w:eastAsia="zh-CN"/>
              </w:rPr>
            </w:pPr>
            <w:r>
              <w:rPr>
                <w:rFonts w:hint="eastAsia"/>
                <w:sz w:val="24"/>
                <w:szCs w:val="24"/>
                <w:vertAlign w:val="baseline"/>
                <w:lang w:val="en-US" w:eastAsia="zh-CN"/>
              </w:rPr>
              <w:t>20%</w:t>
            </w:r>
          </w:p>
        </w:tc>
        <w:tc>
          <w:tcPr>
            <w:tcW w:w="5930" w:type="dxa"/>
          </w:tcPr>
          <w:p>
            <w:pPr>
              <w:pStyle w:val="2"/>
              <w:spacing w:before="171"/>
              <w:rPr>
                <w:rFonts w:hint="eastAsia" w:eastAsia="仿宋"/>
                <w:sz w:val="24"/>
                <w:szCs w:val="24"/>
                <w:vertAlign w:val="baseline"/>
                <w:lang w:eastAsia="zh-CN"/>
              </w:rPr>
            </w:pPr>
            <w:r>
              <w:rPr>
                <w:rFonts w:hint="eastAsia"/>
                <w:sz w:val="24"/>
                <w:szCs w:val="24"/>
                <w:vertAlign w:val="baseline"/>
                <w:lang w:eastAsia="zh-CN"/>
              </w:rPr>
              <w:t>晉升一個基礎薪級、一個績效薪級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781" w:type="dxa"/>
          </w:tcPr>
          <w:p>
            <w:pPr>
              <w:pStyle w:val="2"/>
              <w:spacing w:before="171"/>
              <w:rPr>
                <w:rFonts w:hint="eastAsia" w:eastAsia="仿宋"/>
                <w:sz w:val="24"/>
                <w:szCs w:val="24"/>
                <w:vertAlign w:val="baseline"/>
                <w:lang w:val="en-US" w:eastAsia="zh-CN"/>
              </w:rPr>
            </w:pPr>
            <w:r>
              <w:rPr>
                <w:rFonts w:hint="eastAsia"/>
                <w:sz w:val="24"/>
                <w:szCs w:val="24"/>
                <w:vertAlign w:val="baseline"/>
                <w:lang w:val="en-US" w:eastAsia="zh-CN"/>
              </w:rPr>
              <w:t>B</w:t>
            </w:r>
          </w:p>
        </w:tc>
        <w:tc>
          <w:tcPr>
            <w:tcW w:w="1215" w:type="dxa"/>
          </w:tcPr>
          <w:p>
            <w:pPr>
              <w:pStyle w:val="2"/>
              <w:spacing w:before="171"/>
              <w:rPr>
                <w:rFonts w:hint="eastAsia" w:eastAsia="仿宋"/>
                <w:sz w:val="24"/>
                <w:szCs w:val="24"/>
                <w:vertAlign w:val="baseline"/>
                <w:lang w:val="en-US" w:eastAsia="zh-CN"/>
              </w:rPr>
            </w:pPr>
            <w:r>
              <w:rPr>
                <w:rFonts w:hint="eastAsia"/>
                <w:sz w:val="24"/>
                <w:szCs w:val="24"/>
                <w:vertAlign w:val="baseline"/>
                <w:lang w:val="en-US" w:eastAsia="zh-CN"/>
              </w:rPr>
              <w:t>40%</w:t>
            </w:r>
          </w:p>
        </w:tc>
        <w:tc>
          <w:tcPr>
            <w:tcW w:w="5930" w:type="dxa"/>
          </w:tcPr>
          <w:p>
            <w:pPr>
              <w:pStyle w:val="2"/>
              <w:spacing w:before="171"/>
              <w:rPr>
                <w:rFonts w:hint="eastAsia" w:eastAsia="仿宋"/>
                <w:sz w:val="24"/>
                <w:szCs w:val="24"/>
                <w:vertAlign w:val="baseline"/>
                <w:lang w:eastAsia="zh-CN"/>
              </w:rPr>
            </w:pPr>
            <w:r>
              <w:rPr>
                <w:rFonts w:hint="eastAsia"/>
                <w:sz w:val="24"/>
                <w:szCs w:val="24"/>
                <w:vertAlign w:val="baseline"/>
                <w:lang w:eastAsia="zh-CN"/>
              </w:rPr>
              <w:t>晉升一個績效薪級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781" w:type="dxa"/>
          </w:tcPr>
          <w:p>
            <w:pPr>
              <w:pStyle w:val="2"/>
              <w:spacing w:before="171"/>
              <w:rPr>
                <w:rFonts w:hint="eastAsia" w:eastAsia="仿宋"/>
                <w:sz w:val="24"/>
                <w:szCs w:val="24"/>
                <w:vertAlign w:val="baseline"/>
                <w:lang w:val="en-US" w:eastAsia="zh-CN"/>
              </w:rPr>
            </w:pPr>
            <w:r>
              <w:rPr>
                <w:rFonts w:hint="eastAsia"/>
                <w:sz w:val="24"/>
                <w:szCs w:val="24"/>
                <w:vertAlign w:val="baseline"/>
                <w:lang w:val="en-US" w:eastAsia="zh-CN"/>
              </w:rPr>
              <w:t>C</w:t>
            </w:r>
          </w:p>
        </w:tc>
        <w:tc>
          <w:tcPr>
            <w:tcW w:w="1215" w:type="dxa"/>
          </w:tcPr>
          <w:p>
            <w:pPr>
              <w:pStyle w:val="2"/>
              <w:spacing w:before="171"/>
              <w:rPr>
                <w:rFonts w:hint="eastAsia" w:eastAsia="仿宋"/>
                <w:sz w:val="24"/>
                <w:szCs w:val="24"/>
                <w:vertAlign w:val="baseline"/>
                <w:lang w:val="en-US" w:eastAsia="zh-CN"/>
              </w:rPr>
            </w:pPr>
            <w:r>
              <w:rPr>
                <w:rFonts w:hint="eastAsia"/>
                <w:sz w:val="24"/>
                <w:szCs w:val="24"/>
                <w:vertAlign w:val="baseline"/>
                <w:lang w:val="en-US" w:eastAsia="zh-CN"/>
              </w:rPr>
              <w:t>20%</w:t>
            </w:r>
          </w:p>
        </w:tc>
        <w:tc>
          <w:tcPr>
            <w:tcW w:w="5930" w:type="dxa"/>
          </w:tcPr>
          <w:p>
            <w:pPr>
              <w:pStyle w:val="2"/>
              <w:spacing w:before="171"/>
              <w:rPr>
                <w:rFonts w:hint="eastAsia" w:eastAsia="仿宋"/>
                <w:sz w:val="24"/>
                <w:szCs w:val="24"/>
                <w:vertAlign w:val="baseline"/>
                <w:lang w:eastAsia="zh-CN"/>
              </w:rPr>
            </w:pPr>
            <w:r>
              <w:rPr>
                <w:rFonts w:hint="eastAsia"/>
                <w:sz w:val="24"/>
                <w:szCs w:val="24"/>
                <w:vertAlign w:val="baseline"/>
                <w:lang w:eastAsia="zh-CN"/>
              </w:rPr>
              <w:t>不調整薪級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781" w:type="dxa"/>
          </w:tcPr>
          <w:p>
            <w:pPr>
              <w:pStyle w:val="2"/>
              <w:spacing w:before="171"/>
              <w:rPr>
                <w:rFonts w:hint="eastAsia" w:eastAsia="仿宋"/>
                <w:sz w:val="24"/>
                <w:szCs w:val="24"/>
                <w:vertAlign w:val="baseline"/>
                <w:lang w:val="en-US" w:eastAsia="zh-CN"/>
              </w:rPr>
            </w:pPr>
            <w:r>
              <w:rPr>
                <w:rFonts w:hint="eastAsia"/>
                <w:sz w:val="24"/>
                <w:szCs w:val="24"/>
                <w:vertAlign w:val="baseline"/>
                <w:lang w:val="en-US" w:eastAsia="zh-CN"/>
              </w:rPr>
              <w:t>D</w:t>
            </w:r>
          </w:p>
        </w:tc>
        <w:tc>
          <w:tcPr>
            <w:tcW w:w="1215" w:type="dxa"/>
          </w:tcPr>
          <w:p>
            <w:pPr>
              <w:pStyle w:val="2"/>
              <w:spacing w:before="171"/>
              <w:rPr>
                <w:rFonts w:hint="eastAsia" w:eastAsia="仿宋"/>
                <w:sz w:val="24"/>
                <w:szCs w:val="24"/>
                <w:vertAlign w:val="baseline"/>
                <w:lang w:val="en-US" w:eastAsia="zh-CN"/>
              </w:rPr>
            </w:pPr>
            <w:r>
              <w:rPr>
                <w:rFonts w:hint="eastAsia"/>
                <w:sz w:val="24"/>
                <w:szCs w:val="24"/>
                <w:vertAlign w:val="baseline"/>
                <w:lang w:val="en-US" w:eastAsia="zh-CN"/>
              </w:rPr>
              <w:t>10%</w:t>
            </w:r>
          </w:p>
        </w:tc>
        <w:tc>
          <w:tcPr>
            <w:tcW w:w="5930" w:type="dxa"/>
          </w:tcPr>
          <w:p>
            <w:pPr>
              <w:pStyle w:val="2"/>
              <w:spacing w:before="171"/>
              <w:rPr>
                <w:rFonts w:hint="eastAsia" w:eastAsia="仿宋"/>
                <w:sz w:val="24"/>
                <w:szCs w:val="24"/>
                <w:vertAlign w:val="baseline"/>
                <w:lang w:eastAsia="zh-CN"/>
              </w:rPr>
            </w:pPr>
            <w:r>
              <w:rPr>
                <w:rFonts w:hint="eastAsia"/>
                <w:sz w:val="24"/>
                <w:szCs w:val="24"/>
                <w:vertAlign w:val="baseline"/>
                <w:lang w:eastAsia="zh-CN"/>
              </w:rPr>
              <w:t>下調一個績效薪級</w:t>
            </w:r>
          </w:p>
        </w:tc>
      </w:tr>
    </w:tbl>
    <w:p>
      <w:pPr>
        <w:pStyle w:val="2"/>
        <w:spacing w:before="171"/>
        <w:ind w:left="0" w:leftChars="0" w:firstLine="640" w:firstLineChars="200"/>
        <w:rPr>
          <w:rFonts w:hint="eastAsia"/>
        </w:rPr>
      </w:pPr>
      <w:r>
        <w:rPr>
          <w:rFonts w:hint="eastAsia"/>
        </w:rPr>
        <w:t>根據績效考核結果，通過對員工績效考核結果的連續跟蹤，在職務晉升時，優先選用績效考核結果優秀的員工為晉升物件。</w:t>
      </w:r>
    </w:p>
    <w:p>
      <w:pPr>
        <w:pStyle w:val="2"/>
        <w:spacing w:before="171"/>
        <w:ind w:left="763"/>
        <w:rPr>
          <w:rFonts w:hint="eastAsia"/>
        </w:rPr>
      </w:pPr>
      <w:r>
        <w:rPr>
          <w:rFonts w:hint="eastAsia"/>
        </w:rPr>
        <w:t>第十七條 為員工培訓提供參考依據</w:t>
      </w:r>
    </w:p>
    <w:p>
      <w:pPr>
        <w:pStyle w:val="2"/>
        <w:keepNext w:val="0"/>
        <w:keepLines w:val="0"/>
        <w:pageBreakBefore w:val="0"/>
        <w:widowControl w:val="0"/>
        <w:kinsoku/>
        <w:wordWrap/>
        <w:overflowPunct/>
        <w:topLinePunct w:val="0"/>
        <w:autoSpaceDE w:val="0"/>
        <w:autoSpaceDN w:val="0"/>
        <w:bidi w:val="0"/>
        <w:adjustRightInd/>
        <w:snapToGrid/>
        <w:spacing w:before="171" w:line="600" w:lineRule="exact"/>
        <w:ind w:left="223" w:leftChars="0" w:firstLine="534" w:firstLineChars="167"/>
        <w:textAlignment w:val="auto"/>
        <w:outlineLvl w:val="9"/>
        <w:rPr>
          <w:rFonts w:hint="eastAsia"/>
        </w:rPr>
      </w:pPr>
      <w:r>
        <w:rPr>
          <w:rFonts w:hint="eastAsia"/>
        </w:rPr>
        <w:t>根據績效考核結果，發現員工與企業要求的差距，促使企業內有關部門有針對性地制定員工發展計劃和培訓計劃從而提高培訓的效率，提高員工素質，最終為企業管理水平的提高奠定堅實的基礎。</w:t>
      </w:r>
    </w:p>
    <w:p>
      <w:pPr>
        <w:pStyle w:val="2"/>
        <w:spacing w:before="171"/>
        <w:ind w:left="763"/>
        <w:rPr>
          <w:rFonts w:hint="eastAsia"/>
        </w:rPr>
      </w:pPr>
      <w:r>
        <w:rPr>
          <w:rFonts w:hint="eastAsia"/>
        </w:rPr>
        <w:t>第八章 特殊被考核人群處理規則</w:t>
      </w:r>
    </w:p>
    <w:p>
      <w:pPr>
        <w:pStyle w:val="2"/>
        <w:spacing w:before="171"/>
        <w:ind w:left="763"/>
        <w:rPr>
          <w:rFonts w:hint="eastAsia"/>
        </w:rPr>
      </w:pPr>
      <w:r>
        <w:rPr>
          <w:rFonts w:hint="eastAsia"/>
        </w:rPr>
        <w:t>第十八條 特殊被考核人群績效考核結果的處理規則</w:t>
      </w:r>
    </w:p>
    <w:p>
      <w:pPr>
        <w:pStyle w:val="2"/>
        <w:spacing w:before="171"/>
        <w:ind w:left="763"/>
        <w:rPr>
          <w:rFonts w:hint="eastAsia"/>
        </w:rPr>
      </w:pPr>
      <w:r>
        <w:rPr>
          <w:rFonts w:hint="eastAsia"/>
        </w:rPr>
        <w:t>（一）實習生見習期間不參與績效考核</w:t>
      </w:r>
    </w:p>
    <w:p>
      <w:pPr>
        <w:pStyle w:val="2"/>
        <w:spacing w:before="171"/>
        <w:ind w:left="3" w:leftChars="0" w:firstLine="758" w:firstLineChars="237"/>
        <w:rPr>
          <w:rFonts w:hint="eastAsia"/>
        </w:rPr>
      </w:pPr>
      <w:r>
        <w:rPr>
          <w:rFonts w:hint="eastAsia"/>
        </w:rPr>
        <w:t>（二）試用期未滿的員工不參加年度綜合績效考核；</w:t>
      </w:r>
      <w:r>
        <w:rPr>
          <w:rFonts w:hint="eastAsia"/>
          <w:lang w:eastAsia="zh-CN"/>
        </w:rPr>
        <w:t>試</w:t>
      </w:r>
      <w:r>
        <w:rPr>
          <w:rFonts w:hint="eastAsia"/>
        </w:rPr>
        <w:t>用期已滿但不滿一年的員工的年度綜合績效考核，取其所有參加考核季度的業績考核結果平均分；如果在年度綜合績效</w:t>
      </w:r>
      <w:r>
        <w:rPr>
          <w:rFonts w:hint="eastAsia"/>
          <w:lang w:eastAsia="zh-CN"/>
        </w:rPr>
        <w:t>。</w:t>
      </w:r>
      <w:r>
        <w:rPr>
          <w:rFonts w:hint="eastAsia"/>
        </w:rPr>
        <w:t>考核時，員工試用期已滿但不滿一個季度，則取所在部門所有員工的考核分數的平均分。</w:t>
      </w:r>
    </w:p>
    <w:p>
      <w:pPr>
        <w:pStyle w:val="2"/>
        <w:spacing w:before="171"/>
        <w:ind w:left="3" w:leftChars="0" w:firstLine="758" w:firstLineChars="237"/>
        <w:rPr>
          <w:rFonts w:hint="eastAsia"/>
        </w:rPr>
      </w:pPr>
      <w:r>
        <w:rPr>
          <w:rFonts w:hint="eastAsia"/>
        </w:rPr>
        <w:t>（</w:t>
      </w:r>
      <w:r>
        <w:rPr>
          <w:rFonts w:hint="eastAsia"/>
          <w:lang w:eastAsia="zh-CN"/>
        </w:rPr>
        <w:t>三</w:t>
      </w:r>
      <w:r>
        <w:rPr>
          <w:rFonts w:hint="eastAsia"/>
        </w:rPr>
        <w:t>）考核期內因工作需要而調整崗位的員工原單位可按照其在崗期間的工作表現及目標完成情況進行考核，並參與原單位的考核</w:t>
      </w:r>
      <w:r>
        <w:rPr>
          <w:rFonts w:hint="eastAsia"/>
          <w:lang w:eastAsia="zh-CN"/>
        </w:rPr>
        <w:t>，</w:t>
      </w:r>
      <w:r>
        <w:rPr>
          <w:rFonts w:hint="eastAsia"/>
        </w:rPr>
        <w:t>調崗當月的績效工資由發放調崗當月效益工資的單位兌現</w:t>
      </w:r>
      <w:r>
        <w:rPr>
          <w:rFonts w:hint="eastAsia"/>
          <w:lang w:eastAsia="zh-CN"/>
        </w:rPr>
        <w:t>，出現在一個考核期記憶體在新老單位同時工作的狀況，則按照考核比例，取原單位的績效平均數進行績效工資的發放。</w:t>
      </w:r>
    </w:p>
    <w:p>
      <w:pPr>
        <w:pStyle w:val="2"/>
        <w:spacing w:before="171"/>
        <w:ind w:left="763"/>
        <w:rPr>
          <w:rFonts w:hint="eastAsia"/>
        </w:rPr>
      </w:pPr>
      <w:r>
        <w:rPr>
          <w:rFonts w:hint="eastAsia"/>
        </w:rPr>
        <w:t>第九章 其他要求</w:t>
      </w:r>
    </w:p>
    <w:p>
      <w:pPr>
        <w:pStyle w:val="2"/>
        <w:spacing w:before="171"/>
        <w:ind w:left="763"/>
        <w:rPr>
          <w:rFonts w:hint="eastAsia"/>
        </w:rPr>
      </w:pPr>
      <w:r>
        <w:rPr>
          <w:rFonts w:hint="eastAsia"/>
        </w:rPr>
        <w:t xml:space="preserve">第十九條 D </w:t>
      </w:r>
      <w:r>
        <w:rPr>
          <w:rFonts w:hint="eastAsia"/>
          <w:lang w:eastAsia="zh-CN"/>
        </w:rPr>
        <w:t>級</w:t>
      </w:r>
      <w:r>
        <w:rPr>
          <w:rFonts w:hint="eastAsia"/>
        </w:rPr>
        <w:t>員工處理</w:t>
      </w:r>
    </w:p>
    <w:p>
      <w:pPr>
        <w:pStyle w:val="2"/>
        <w:spacing w:before="171"/>
        <w:ind w:firstLine="640" w:firstLineChars="200"/>
        <w:rPr>
          <w:rFonts w:hint="eastAsia"/>
        </w:rPr>
      </w:pPr>
      <w:r>
        <w:rPr>
          <w:rFonts w:hint="eastAsia"/>
        </w:rPr>
        <w:t>連續</w:t>
      </w:r>
      <w:r>
        <w:rPr>
          <w:rFonts w:hint="eastAsia"/>
          <w:lang w:eastAsia="zh-CN"/>
        </w:rPr>
        <w:t>三個月月度</w:t>
      </w:r>
      <w:r>
        <w:rPr>
          <w:rFonts w:hint="eastAsia"/>
        </w:rPr>
        <w:t>考核低於 70 分（</w:t>
      </w:r>
      <w:r>
        <w:rPr>
          <w:rFonts w:hint="eastAsia"/>
          <w:lang w:val="en-US" w:eastAsia="zh-CN"/>
        </w:rPr>
        <w:t>D</w:t>
      </w:r>
      <w:r>
        <w:rPr>
          <w:rFonts w:hint="eastAsia"/>
        </w:rPr>
        <w:t xml:space="preserve">級），視為崗位不勝任工作者，要對該員工提出績效整改計劃；年度考核為 D </w:t>
      </w:r>
      <w:r>
        <w:rPr>
          <w:rFonts w:hint="eastAsia"/>
          <w:lang w:eastAsia="zh-CN"/>
        </w:rPr>
        <w:t>級</w:t>
      </w:r>
      <w:r>
        <w:rPr>
          <w:rFonts w:hint="eastAsia"/>
        </w:rPr>
        <w:t>的則對其進行待崗、降職或解除勞動合約處理。</w:t>
      </w:r>
    </w:p>
    <w:p>
      <w:pPr>
        <w:pStyle w:val="2"/>
        <w:spacing w:before="171"/>
        <w:ind w:left="763"/>
        <w:rPr>
          <w:rFonts w:hint="eastAsia"/>
        </w:rPr>
      </w:pPr>
      <w:r>
        <w:rPr>
          <w:rFonts w:hint="eastAsia"/>
        </w:rPr>
        <w:t>第二十條 對於考核過程中出現的弄虛作假情況，一</w:t>
      </w:r>
    </w:p>
    <w:p>
      <w:pPr>
        <w:pStyle w:val="2"/>
        <w:spacing w:before="171"/>
        <w:rPr>
          <w:rFonts w:hint="eastAsia"/>
        </w:rPr>
      </w:pPr>
      <w:r>
        <w:rPr>
          <w:rFonts w:hint="eastAsia"/>
        </w:rPr>
        <w:t>經查處，取消被考核人和責任人的考核資格，按最低</w:t>
      </w:r>
      <w:r>
        <w:rPr>
          <w:rFonts w:hint="eastAsia"/>
          <w:lang w:eastAsia="zh-CN"/>
        </w:rPr>
        <w:t>級</w:t>
      </w:r>
      <w:r>
        <w:rPr>
          <w:rFonts w:hint="eastAsia"/>
        </w:rPr>
        <w:t>處理</w:t>
      </w:r>
    </w:p>
    <w:p>
      <w:pPr>
        <w:pStyle w:val="2"/>
        <w:spacing w:before="171"/>
        <w:rPr>
          <w:rFonts w:hint="eastAsia"/>
        </w:rPr>
      </w:pPr>
      <w:r>
        <w:rPr>
          <w:rFonts w:hint="eastAsia"/>
        </w:rPr>
        <w:t>情節嚴重的解除勞動合約。</w:t>
      </w:r>
    </w:p>
    <w:p>
      <w:pPr>
        <w:pStyle w:val="2"/>
        <w:spacing w:before="171"/>
        <w:ind w:left="763"/>
        <w:rPr>
          <w:rFonts w:hint="eastAsia"/>
        </w:rPr>
      </w:pPr>
      <w:r>
        <w:rPr>
          <w:rFonts w:hint="eastAsia"/>
        </w:rPr>
        <w:t>第二十一條 本方案與勞動法等有相關法律規定衝突的，</w:t>
      </w:r>
    </w:p>
    <w:p>
      <w:pPr>
        <w:pStyle w:val="2"/>
        <w:spacing w:before="171"/>
        <w:ind w:left="0" w:leftChars="0" w:firstLine="0" w:firstLineChars="0"/>
        <w:rPr>
          <w:rFonts w:hint="eastAsia"/>
        </w:rPr>
      </w:pPr>
      <w:r>
        <w:rPr>
          <w:rFonts w:hint="eastAsia"/>
        </w:rPr>
        <w:t>依照法律規定操作。</w:t>
      </w:r>
    </w:p>
    <w:p>
      <w:pPr>
        <w:pStyle w:val="2"/>
        <w:spacing w:before="171"/>
        <w:ind w:left="763"/>
        <w:rPr>
          <w:rFonts w:hint="eastAsia"/>
        </w:rPr>
      </w:pPr>
      <w:r>
        <w:rPr>
          <w:rFonts w:hint="eastAsia"/>
        </w:rPr>
        <w:t>第十章 附 則</w:t>
      </w:r>
    </w:p>
    <w:p>
      <w:pPr>
        <w:pStyle w:val="2"/>
        <w:spacing w:before="171"/>
        <w:ind w:left="763"/>
        <w:rPr>
          <w:rFonts w:hint="eastAsia"/>
        </w:rPr>
      </w:pPr>
      <w:r>
        <w:rPr>
          <w:rFonts w:hint="eastAsia"/>
        </w:rPr>
        <w:t>第二十二條 本方案</w:t>
      </w:r>
      <w:r>
        <w:rPr>
          <w:rFonts w:hint="eastAsia"/>
          <w:lang w:eastAsia="zh-CN"/>
        </w:rPr>
        <w:t>最終解釋權歸</w:t>
      </w:r>
      <w:r>
        <w:rPr>
          <w:rFonts w:hint="eastAsia"/>
          <w:lang w:val="en-US" w:eastAsia="zh-CN"/>
        </w:rPr>
        <w:t>XX公司</w:t>
      </w:r>
      <w:r>
        <w:rPr>
          <w:rFonts w:hint="eastAsia"/>
          <w:lang w:eastAsia="zh-CN"/>
        </w:rPr>
        <w:t>人力資源部</w:t>
      </w:r>
    </w:p>
    <w:p>
      <w:pPr>
        <w:pStyle w:val="2"/>
        <w:spacing w:before="171"/>
        <w:ind w:left="3" w:leftChars="0" w:firstLine="758" w:firstLineChars="237"/>
        <w:rPr>
          <w:rFonts w:hint="eastAsia"/>
          <w:lang w:eastAsia="zh-CN"/>
        </w:rPr>
      </w:pPr>
      <w:r>
        <w:rPr>
          <w:rFonts w:hint="eastAsia"/>
        </w:rPr>
        <w:t>第二十三條 本方案自</w:t>
      </w:r>
      <w:r>
        <w:rPr>
          <w:rFonts w:hint="eastAsia"/>
          <w:lang w:val="en-US" w:eastAsia="zh-CN"/>
        </w:rPr>
        <w:t>XXXX</w:t>
      </w:r>
      <w:r>
        <w:rPr>
          <w:rFonts w:hint="eastAsia"/>
        </w:rPr>
        <w:t>年</w:t>
      </w:r>
      <w:r>
        <w:rPr>
          <w:rFonts w:hint="eastAsia"/>
          <w:lang w:val="en-US" w:eastAsia="zh-CN"/>
        </w:rPr>
        <w:t>XX</w:t>
      </w:r>
      <w:r>
        <w:rPr>
          <w:rFonts w:hint="eastAsia"/>
        </w:rPr>
        <w:t>月</w:t>
      </w:r>
      <w:r>
        <w:rPr>
          <w:rFonts w:hint="eastAsia"/>
          <w:lang w:val="en-US" w:eastAsia="zh-CN"/>
        </w:rPr>
        <w:t>XX</w:t>
      </w:r>
      <w:r>
        <w:rPr>
          <w:rFonts w:hint="eastAsia"/>
        </w:rPr>
        <w:t>日起實行，原相關規定和管理標準自行終止</w:t>
      </w:r>
      <w:r>
        <w:rPr>
          <w:rFonts w:hint="eastAsia"/>
          <w:lang w:eastAsia="zh-CN"/>
        </w:rPr>
        <w:t>，與本方案存在衝突的其他考核制度在本方案實施之日起一律以本方案為準。</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86"/>
    <w:family w:val="swiss"/>
    <w:pitch w:val="default"/>
    <w:sig w:usb0="E10002FF" w:usb1="4000ACFF" w:usb2="00000009" w:usb3="00000000" w:csb0="2000019F" w:csb1="00000000"/>
  </w:font>
  <w:font w:name="Calibri">
    <w:panose1 w:val="020F0502020204030204"/>
    <w:charset w:val="86"/>
    <w:family w:val="swiss"/>
    <w:pitch w:val="default"/>
    <w:sig w:usb0="E10002FF" w:usb1="4000ACFF" w:usb2="00000009" w:usb3="00000000" w:csb0="2000019F" w:csb1="00000000"/>
  </w:font>
  <w:font w:name="Calibri">
    <w:panose1 w:val="020F0502020204030204"/>
    <w:charset w:val="00"/>
    <w:family w:val="auto"/>
    <w:pitch w:val="default"/>
    <w:sig w:usb0="E10002FF" w:usb1="4000ACFF" w:usb2="00000009" w:usb3="00000000" w:csb0="2000019F" w:csb1="00000000"/>
  </w:font>
  <w:font w:name="仿宋">
    <w:panose1 w:val="02010609060101010101"/>
    <w:charset w:val="86"/>
    <w:family w:val="modern"/>
    <w:pitch w:val="default"/>
    <w:sig w:usb0="800002BF" w:usb1="38CF7CFA" w:usb2="00000016" w:usb3="00000000" w:csb0="00040001" w:csb1="00000000"/>
  </w:font>
  <w:font w:name="Arial Unicode MS">
    <w:panose1 w:val="020B0604020202020204"/>
    <w:charset w:val="86"/>
    <w:family w:val="swiss"/>
    <w:pitch w:val="default"/>
    <w:sig w:usb0="FFFFFFFF" w:usb1="E9FFFFFF" w:usb2="0000003F" w:usb3="00000000" w:csb0="603F01FF" w:csb1="FFFF0000"/>
  </w:font>
  <w:font w:name="楷体">
    <w:panose1 w:val="02010609060101010101"/>
    <w:charset w:val="86"/>
    <w:family w:val="modern"/>
    <w:pitch w:val="default"/>
    <w:sig w:usb0="800002BF" w:usb1="38CF7CFA" w:usb2="00000016" w:usb3="00000000" w:csb0="00040001" w:csb1="00000000"/>
  </w:font>
  <w:font w:name="华文仿宋">
    <w:panose1 w:val="02010600040101010101"/>
    <w:charset w:val="86"/>
    <w:family w:val="auto"/>
    <w:pitch w:val="default"/>
    <w:sig w:usb0="00000287" w:usb1="080F0000" w:usb2="00000000" w:usb3="00000000" w:csb0="0004009F" w:csb1="DFD7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056B8EE"/>
    <w:multiLevelType w:val="singleLevel"/>
    <w:tmpl w:val="C056B8EE"/>
    <w:lvl w:ilvl="0" w:tentative="0">
      <w:start w:val="2"/>
      <w:numFmt w:val="decimal"/>
      <w:suff w:val="nothing"/>
      <w:lvlText w:val="（%1）"/>
      <w:lvlJc w:val="left"/>
    </w:lvl>
  </w:abstractNum>
  <w:abstractNum w:abstractNumId="1">
    <w:nsid w:val="0053208E"/>
    <w:multiLevelType w:val="multilevel"/>
    <w:tmpl w:val="0053208E"/>
    <w:lvl w:ilvl="0" w:tentative="0">
      <w:start w:val="1"/>
      <w:numFmt w:val="decimal"/>
      <w:lvlText w:val="%1."/>
      <w:lvlJc w:val="left"/>
      <w:pPr>
        <w:ind w:left="1085" w:hanging="322"/>
        <w:jc w:val="left"/>
      </w:pPr>
      <w:rPr>
        <w:rFonts w:hint="default" w:ascii="仿宋" w:hAnsi="仿宋" w:eastAsia="仿宋" w:cs="仿宋"/>
        <w:spacing w:val="1"/>
        <w:w w:val="99"/>
        <w:sz w:val="30"/>
        <w:szCs w:val="30"/>
        <w:lang w:val="zh-CN" w:eastAsia="zh-CN" w:bidi="zh-CN"/>
      </w:rPr>
    </w:lvl>
    <w:lvl w:ilvl="1" w:tentative="0">
      <w:start w:val="0"/>
      <w:numFmt w:val="bullet"/>
      <w:lvlText w:val="•"/>
      <w:lvlJc w:val="left"/>
      <w:pPr>
        <w:ind w:left="1842" w:hanging="322"/>
      </w:pPr>
      <w:rPr>
        <w:rFonts w:hint="default"/>
        <w:lang w:val="zh-CN" w:eastAsia="zh-CN" w:bidi="zh-CN"/>
      </w:rPr>
    </w:lvl>
    <w:lvl w:ilvl="2" w:tentative="0">
      <w:start w:val="0"/>
      <w:numFmt w:val="bullet"/>
      <w:lvlText w:val="•"/>
      <w:lvlJc w:val="left"/>
      <w:pPr>
        <w:ind w:left="2605" w:hanging="322"/>
      </w:pPr>
      <w:rPr>
        <w:rFonts w:hint="default"/>
        <w:lang w:val="zh-CN" w:eastAsia="zh-CN" w:bidi="zh-CN"/>
      </w:rPr>
    </w:lvl>
    <w:lvl w:ilvl="3" w:tentative="0">
      <w:start w:val="0"/>
      <w:numFmt w:val="bullet"/>
      <w:lvlText w:val="•"/>
      <w:lvlJc w:val="left"/>
      <w:pPr>
        <w:ind w:left="3367" w:hanging="322"/>
      </w:pPr>
      <w:rPr>
        <w:rFonts w:hint="default"/>
        <w:lang w:val="zh-CN" w:eastAsia="zh-CN" w:bidi="zh-CN"/>
      </w:rPr>
    </w:lvl>
    <w:lvl w:ilvl="4" w:tentative="0">
      <w:start w:val="0"/>
      <w:numFmt w:val="bullet"/>
      <w:lvlText w:val="•"/>
      <w:lvlJc w:val="left"/>
      <w:pPr>
        <w:ind w:left="4130" w:hanging="322"/>
      </w:pPr>
      <w:rPr>
        <w:rFonts w:hint="default"/>
        <w:lang w:val="zh-CN" w:eastAsia="zh-CN" w:bidi="zh-CN"/>
      </w:rPr>
    </w:lvl>
    <w:lvl w:ilvl="5" w:tentative="0">
      <w:start w:val="0"/>
      <w:numFmt w:val="bullet"/>
      <w:lvlText w:val="•"/>
      <w:lvlJc w:val="left"/>
      <w:pPr>
        <w:ind w:left="4893" w:hanging="322"/>
      </w:pPr>
      <w:rPr>
        <w:rFonts w:hint="default"/>
        <w:lang w:val="zh-CN" w:eastAsia="zh-CN" w:bidi="zh-CN"/>
      </w:rPr>
    </w:lvl>
    <w:lvl w:ilvl="6" w:tentative="0">
      <w:start w:val="0"/>
      <w:numFmt w:val="bullet"/>
      <w:lvlText w:val="•"/>
      <w:lvlJc w:val="left"/>
      <w:pPr>
        <w:ind w:left="5655" w:hanging="322"/>
      </w:pPr>
      <w:rPr>
        <w:rFonts w:hint="default"/>
        <w:lang w:val="zh-CN" w:eastAsia="zh-CN" w:bidi="zh-CN"/>
      </w:rPr>
    </w:lvl>
    <w:lvl w:ilvl="7" w:tentative="0">
      <w:start w:val="0"/>
      <w:numFmt w:val="bullet"/>
      <w:lvlText w:val="•"/>
      <w:lvlJc w:val="left"/>
      <w:pPr>
        <w:ind w:left="6418" w:hanging="322"/>
      </w:pPr>
      <w:rPr>
        <w:rFonts w:hint="default"/>
        <w:lang w:val="zh-CN" w:eastAsia="zh-CN" w:bidi="zh-CN"/>
      </w:rPr>
    </w:lvl>
    <w:lvl w:ilvl="8" w:tentative="0">
      <w:start w:val="0"/>
      <w:numFmt w:val="bullet"/>
      <w:lvlText w:val="•"/>
      <w:lvlJc w:val="left"/>
      <w:pPr>
        <w:ind w:left="7181" w:hanging="322"/>
      </w:pPr>
      <w:rPr>
        <w:rFonts w:hint="default"/>
        <w:lang w:val="zh-CN" w:eastAsia="zh-CN" w:bidi="zh-CN"/>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D586670"/>
    <w:rsid w:val="5B2E0518"/>
    <w:rsid w:val="5D58667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HAnsi" w:cstheme="minorBidi"/>
      </w:rPr>
    </w:r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spacing w:before="0" w:after="0" w:line="240" w:lineRule="auto"/>
      <w:ind w:left="0" w:right="0"/>
      <w:jc w:val="left"/>
    </w:pPr>
    <w:rPr>
      <w:rFonts w:ascii="仿宋" w:hAnsi="仿宋" w:eastAsia="仿宋" w:cs="仿宋"/>
      <w:sz w:val="22"/>
      <w:szCs w:val="22"/>
      <w:lang w:val="zh-CN" w:eastAsia="zh-CN" w:bidi="zh-CN"/>
    </w:rPr>
  </w:style>
  <w:style w:type="character" w:default="1" w:styleId="3">
    <w:name w:val="Default Paragraph Font"/>
    <w:semiHidden/>
    <w:uiPriority w:val="0"/>
  </w:style>
  <w:style w:type="table" w:default="1" w:styleId="4">
    <w:name w:val="Normal Table"/>
    <w:semiHidden/>
    <w:qFormat/>
    <w:uiPriority w:val="0"/>
    <w:tblPr>
      <w:tblLayout w:type="fixed"/>
      <w:tblCellMar>
        <w:top w:w="0" w:type="dxa"/>
        <w:left w:w="108" w:type="dxa"/>
        <w:bottom w:w="0" w:type="dxa"/>
        <w:right w:w="108" w:type="dxa"/>
      </w:tblCellMar>
    </w:tblPr>
  </w:style>
  <w:style w:type="paragraph" w:styleId="2">
    <w:name w:val="Body Text"/>
    <w:basedOn w:val="1"/>
    <w:qFormat/>
    <w:uiPriority w:val="1"/>
    <w:pPr>
      <w:ind w:left="122"/>
    </w:pPr>
    <w:rPr>
      <w:rFonts w:ascii="仿宋" w:hAnsi="仿宋" w:eastAsia="仿宋" w:cs="仿宋"/>
      <w:sz w:val="32"/>
      <w:szCs w:val="32"/>
      <w:lang w:val="zh-CN" w:eastAsia="zh-CN" w:bidi="zh-CN"/>
    </w:rPr>
  </w:style>
  <w:style w:type="table" w:styleId="5">
    <w:name w:val="Table Grid"/>
    <w:basedOn w:val="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paragraph" w:styleId="6">
    <w:name w:val="List Paragraph"/>
    <w:basedOn w:val="1"/>
    <w:qFormat/>
    <w:uiPriority w:val="1"/>
    <w:pPr>
      <w:ind w:left="1085" w:hanging="322"/>
    </w:pPr>
    <w:rPr>
      <w:rFonts w:ascii="仿宋" w:hAnsi="仿宋" w:eastAsia="仿宋" w:cs="仿宋"/>
      <w:lang w:val="zh-CN" w:eastAsia="zh-CN" w:bidi="zh-CN"/>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3</TotalTime>
  <ScaleCrop>false</ScaleCrop>
  <LinksUpToDate>false</LinksUpToDate>
  <CharactersWithSpaces>0</CharactersWithSpaces>
  <Application>簡報雲PPT</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2018-10-08T06:37:00Z</dcterms:created>
  <dc:creator>簡報雲PPT</dc:creator>
  <cp:lastModifiedBy>簡報雲PPT</cp:lastModifiedBy>
  <dcterms:modified xsi:type="dcterms:W3CDTF">2018-10-08T06:57:58Z</dcterms:modified>
  <cp:revision>1</cp:revision>
</cp:coreProperties>
</file>