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Cs w:val="36"/>
        </w:rPr>
      </w:pPr>
      <w:r>
        <w:rPr>
          <w:rFonts w:hint="eastAsia"/>
          <w:b/>
          <w:szCs w:val="36"/>
        </w:rPr>
        <w:t>策劃主管</w:t>
      </w:r>
      <w:r>
        <w:rPr>
          <w:rFonts w:hint="eastAsia"/>
          <w:b/>
          <w:szCs w:val="36"/>
          <w:u w:val="single"/>
        </w:rPr>
        <w:t xml:space="preserve">    </w:t>
      </w:r>
      <w:r>
        <w:rPr>
          <w:rFonts w:hint="eastAsia"/>
          <w:b/>
          <w:szCs w:val="36"/>
        </w:rPr>
        <w:t>月份考核表</w:t>
      </w:r>
    </w:p>
    <w:p>
      <w:pPr>
        <w:rPr>
          <w:rFonts w:hint="eastAsia"/>
          <w:b/>
          <w:szCs w:val="36"/>
        </w:rPr>
      </w:pPr>
      <w:r>
        <w:rPr>
          <w:rFonts w:hint="eastAsia"/>
          <w:szCs w:val="18"/>
        </w:rPr>
        <w:t>編號</w:t>
      </w:r>
    </w:p>
    <w:tbl>
      <w:tblPr>
        <w:tblStyle w:val="3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1039"/>
        <w:gridCol w:w="2381"/>
        <w:gridCol w:w="720"/>
        <w:gridCol w:w="2160"/>
        <w:gridCol w:w="5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姓名：</w:t>
            </w:r>
          </w:p>
        </w:tc>
        <w:tc>
          <w:tcPr>
            <w:tcW w:w="2119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性別：</w:t>
            </w:r>
          </w:p>
        </w:tc>
        <w:tc>
          <w:tcPr>
            <w:tcW w:w="2381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分校：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入職時間:</w:t>
            </w: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考核方向</w:t>
            </w:r>
          </w:p>
        </w:tc>
        <w:tc>
          <w:tcPr>
            <w:tcW w:w="450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具體事項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szCs w:val="18"/>
              </w:rPr>
              <w:t>分值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考核情況說明</w:t>
            </w:r>
          </w:p>
        </w:tc>
        <w:tc>
          <w:tcPr>
            <w:tcW w:w="54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rPr>
                <w:rFonts w:hint="eastAsia"/>
                <w:b/>
                <w:szCs w:val="18"/>
              </w:rPr>
            </w:pPr>
            <w:r>
              <w:rPr>
                <w:rFonts w:hint="eastAsia"/>
                <w:b/>
                <w:szCs w:val="18"/>
              </w:rPr>
              <w:t xml:space="preserve">基本考核 </w:t>
            </w:r>
          </w:p>
          <w:p>
            <w:pPr>
              <w:rPr>
                <w:rFonts w:hint="eastAsia"/>
                <w:b/>
                <w:szCs w:val="18"/>
              </w:rPr>
            </w:pPr>
            <w:r>
              <w:rPr>
                <w:rFonts w:hint="eastAsia"/>
                <w:b/>
                <w:szCs w:val="18"/>
              </w:rPr>
              <w:t>20分</w:t>
            </w:r>
          </w:p>
        </w:tc>
        <w:tc>
          <w:tcPr>
            <w:tcW w:w="4500" w:type="dxa"/>
            <w:gridSpan w:val="3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1. 考勤考核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5分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無遲到早退現象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4500" w:type="dxa"/>
            <w:gridSpan w:val="3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2. 行為考核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5分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言行要代表企業形象，維護企業利益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4500" w:type="dxa"/>
            <w:gridSpan w:val="3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3. 創新能力 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10分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策劃人員的基本素質，有新聞敏感度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rPr>
                <w:rFonts w:hint="eastAsia"/>
                <w:b/>
                <w:szCs w:val="18"/>
              </w:rPr>
            </w:pPr>
            <w:r>
              <w:rPr>
                <w:rFonts w:hint="eastAsia"/>
                <w:b/>
                <w:szCs w:val="18"/>
              </w:rPr>
              <w:t>業務考核</w:t>
            </w:r>
          </w:p>
          <w:p>
            <w:pPr>
              <w:rPr>
                <w:b/>
                <w:szCs w:val="18"/>
              </w:rPr>
            </w:pPr>
            <w:r>
              <w:rPr>
                <w:rFonts w:hint="eastAsia"/>
                <w:b/>
                <w:color w:val="000000"/>
                <w:szCs w:val="18"/>
              </w:rPr>
              <w:t>50</w:t>
            </w:r>
            <w:r>
              <w:rPr>
                <w:rFonts w:hint="eastAsia"/>
                <w:b/>
                <w:szCs w:val="18"/>
              </w:rPr>
              <w:t>分</w:t>
            </w:r>
          </w:p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eastAsia"/>
                <w:sz w:val="21"/>
                <w:szCs w:val="18"/>
              </w:rPr>
            </w:pPr>
            <w:r>
              <w:rPr>
                <w:rFonts w:hint="eastAsia"/>
                <w:sz w:val="21"/>
                <w:szCs w:val="18"/>
              </w:rPr>
              <w:t>計劃性</w:t>
            </w:r>
          </w:p>
          <w:p>
            <w:pPr>
              <w:pStyle w:val="2"/>
              <w:spacing w:before="0" w:beforeAutospacing="0" w:after="0" w:afterAutospacing="0"/>
              <w:rPr>
                <w:rFonts w:hint="eastAsia"/>
                <w:sz w:val="21"/>
                <w:szCs w:val="18"/>
              </w:rPr>
            </w:pPr>
            <w:r>
              <w:rPr>
                <w:rFonts w:hint="eastAsia"/>
                <w:sz w:val="21"/>
                <w:szCs w:val="18"/>
              </w:rPr>
              <w:t>10分</w:t>
            </w:r>
          </w:p>
        </w:tc>
        <w:tc>
          <w:tcPr>
            <w:tcW w:w="3420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/>
                <w:sz w:val="21"/>
                <w:szCs w:val="18"/>
              </w:rPr>
            </w:pPr>
            <w:r>
              <w:rPr>
                <w:rFonts w:hint="eastAsia"/>
                <w:sz w:val="21"/>
                <w:szCs w:val="18"/>
              </w:rPr>
              <w:t>1. 針對學校發展，明確工作目標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pStyle w:val="2"/>
              <w:rPr>
                <w:rFonts w:hint="eastAsia"/>
                <w:sz w:val="21"/>
                <w:szCs w:val="18"/>
              </w:rPr>
            </w:pPr>
            <w:r>
              <w:rPr>
                <w:rFonts w:hint="eastAsia"/>
                <w:sz w:val="21"/>
                <w:szCs w:val="18"/>
              </w:rPr>
              <w:t>2</w:t>
            </w:r>
            <w:r>
              <w:rPr>
                <w:rFonts w:hint="eastAsia"/>
                <w:sz w:val="21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/>
                <w:sz w:val="21"/>
                <w:szCs w:val="18"/>
              </w:rPr>
            </w:pPr>
          </w:p>
        </w:tc>
        <w:tc>
          <w:tcPr>
            <w:tcW w:w="3420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/>
                <w:sz w:val="21"/>
                <w:szCs w:val="18"/>
              </w:rPr>
            </w:pPr>
            <w:r>
              <w:rPr>
                <w:rFonts w:hint="eastAsia"/>
                <w:sz w:val="21"/>
                <w:szCs w:val="18"/>
              </w:rPr>
              <w:t>2. 每月發稿計劃不少於3次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pStyle w:val="2"/>
              <w:rPr>
                <w:rFonts w:hint="eastAsia"/>
                <w:sz w:val="21"/>
                <w:szCs w:val="18"/>
              </w:rPr>
            </w:pPr>
            <w:r>
              <w:rPr>
                <w:rFonts w:hint="eastAsia"/>
                <w:sz w:val="21"/>
                <w:szCs w:val="18"/>
              </w:rPr>
              <w:t>5</w:t>
            </w:r>
            <w:r>
              <w:rPr>
                <w:rFonts w:hint="eastAsia"/>
                <w:sz w:val="21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/>
                <w:sz w:val="21"/>
                <w:szCs w:val="18"/>
              </w:rPr>
            </w:pPr>
          </w:p>
        </w:tc>
        <w:tc>
          <w:tcPr>
            <w:tcW w:w="3420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/>
                <w:sz w:val="21"/>
                <w:szCs w:val="18"/>
              </w:rPr>
            </w:pPr>
            <w:r>
              <w:rPr>
                <w:rFonts w:hint="eastAsia"/>
                <w:sz w:val="21"/>
                <w:szCs w:val="18"/>
              </w:rPr>
              <w:t>3. 對學校招生有切實幫助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pStyle w:val="2"/>
              <w:rPr>
                <w:rFonts w:hint="eastAsia"/>
                <w:sz w:val="21"/>
                <w:szCs w:val="18"/>
              </w:rPr>
            </w:pPr>
            <w:r>
              <w:rPr>
                <w:rFonts w:hint="eastAsia"/>
                <w:sz w:val="21"/>
                <w:szCs w:val="18"/>
              </w:rPr>
              <w:t>3</w:t>
            </w:r>
            <w:r>
              <w:rPr>
                <w:rFonts w:hint="eastAsia"/>
                <w:sz w:val="21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pStyle w:val="2"/>
              <w:rPr>
                <w:rFonts w:hint="eastAsia"/>
                <w:sz w:val="21"/>
                <w:szCs w:val="18"/>
              </w:rPr>
            </w:pPr>
            <w:r>
              <w:rPr>
                <w:rFonts w:hint="eastAsia"/>
                <w:sz w:val="21"/>
                <w:szCs w:val="18"/>
              </w:rPr>
              <w:t>活動實施15分</w:t>
            </w:r>
          </w:p>
        </w:tc>
        <w:tc>
          <w:tcPr>
            <w:tcW w:w="3420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/>
                <w:sz w:val="21"/>
                <w:szCs w:val="18"/>
              </w:rPr>
            </w:pPr>
            <w:r>
              <w:rPr>
                <w:rFonts w:hint="eastAsia"/>
                <w:sz w:val="21"/>
                <w:szCs w:val="18"/>
              </w:rPr>
              <w:t>1. 細分活動流程，責權分明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pStyle w:val="2"/>
              <w:rPr>
                <w:rFonts w:hint="eastAsia"/>
                <w:sz w:val="21"/>
                <w:szCs w:val="18"/>
              </w:rPr>
            </w:pPr>
            <w:r>
              <w:rPr>
                <w:rFonts w:hint="eastAsia"/>
                <w:sz w:val="21"/>
                <w:szCs w:val="18"/>
              </w:rPr>
              <w:t>3</w:t>
            </w:r>
            <w:r>
              <w:rPr>
                <w:rFonts w:hint="eastAsia"/>
                <w:sz w:val="21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1080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3420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2. 保證活動的順利實施，無相關教學事故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3</w:t>
            </w:r>
            <w:r>
              <w:rPr>
                <w:rFonts w:hint="eastAsia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1080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3420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3. 確保最終結果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6</w:t>
            </w:r>
            <w:r>
              <w:rPr>
                <w:rFonts w:hint="eastAsia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1080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3420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4. 活動後期跟蹤到位，無投訴事件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3</w:t>
            </w:r>
            <w:r>
              <w:rPr>
                <w:rFonts w:hint="eastAsia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1080" w:type="dxa"/>
            <w:vMerge w:val="restart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.</w:t>
            </w:r>
          </w:p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媒體聯絡</w:t>
            </w:r>
          </w:p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10分</w:t>
            </w:r>
          </w:p>
        </w:tc>
        <w:tc>
          <w:tcPr>
            <w:tcW w:w="3420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1. 無媒體負面報道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5</w:t>
            </w:r>
            <w:r>
              <w:rPr>
                <w:rFonts w:hint="eastAsia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1080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3420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2. 和各媒體有良好溝通聯絡，有助於學校釋出相關宣傳資訊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rFonts w:hint="eastAsia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1080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3420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3. 有媒體敏感度，關注行業新聞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3</w:t>
            </w:r>
            <w:r>
              <w:rPr>
                <w:rFonts w:hint="eastAsia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1080" w:type="dxa"/>
            <w:vMerge w:val="restart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工作質量提升5分</w:t>
            </w:r>
          </w:p>
        </w:tc>
        <w:tc>
          <w:tcPr>
            <w:tcW w:w="3420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1. 提高宣傳量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3</w:t>
            </w:r>
            <w:r>
              <w:rPr>
                <w:rFonts w:hint="eastAsia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1080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3420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2. 推陳出新，提升宣傳質量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rFonts w:hint="eastAsia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1080" w:type="dxa"/>
            <w:vMerge w:val="restart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人員管理</w:t>
            </w:r>
          </w:p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10分</w:t>
            </w:r>
          </w:p>
        </w:tc>
        <w:tc>
          <w:tcPr>
            <w:tcW w:w="3420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/>
                <w:sz w:val="21"/>
                <w:szCs w:val="18"/>
              </w:rPr>
            </w:pPr>
            <w:r>
              <w:rPr>
                <w:rFonts w:hint="eastAsia"/>
                <w:sz w:val="21"/>
                <w:szCs w:val="18"/>
              </w:rPr>
              <w:t>1. 人力資源合理調配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rFonts w:hint="eastAsia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1080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3420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/>
                <w:sz w:val="21"/>
                <w:szCs w:val="18"/>
              </w:rPr>
            </w:pPr>
            <w:r>
              <w:rPr>
                <w:rFonts w:hint="eastAsia"/>
                <w:sz w:val="21"/>
                <w:szCs w:val="18"/>
              </w:rPr>
              <w:t>2. 對下屬監督嚴格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5</w:t>
            </w:r>
            <w:r>
              <w:rPr>
                <w:rFonts w:hint="eastAsia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szCs w:val="18"/>
              </w:rPr>
            </w:pPr>
          </w:p>
        </w:tc>
        <w:tc>
          <w:tcPr>
            <w:tcW w:w="1080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3420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/>
                <w:sz w:val="21"/>
                <w:szCs w:val="18"/>
              </w:rPr>
            </w:pPr>
            <w:r>
              <w:rPr>
                <w:rFonts w:hint="eastAsia"/>
                <w:sz w:val="21"/>
                <w:szCs w:val="18"/>
              </w:rPr>
              <w:t>3. 有良好的人員培養能力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3</w:t>
            </w:r>
            <w:r>
              <w:rPr>
                <w:rFonts w:hint="eastAsia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rPr>
                <w:rFonts w:hint="eastAsia"/>
                <w:b/>
                <w:szCs w:val="18"/>
              </w:rPr>
            </w:pPr>
            <w:r>
              <w:rPr>
                <w:rFonts w:hint="eastAsia"/>
                <w:b/>
                <w:szCs w:val="18"/>
              </w:rPr>
              <w:t>其他能力</w:t>
            </w:r>
          </w:p>
          <w:p>
            <w:pPr>
              <w:rPr>
                <w:rFonts w:hint="eastAsia"/>
                <w:b/>
                <w:szCs w:val="18"/>
              </w:rPr>
            </w:pPr>
            <w:r>
              <w:rPr>
                <w:rFonts w:hint="eastAsia"/>
                <w:b/>
                <w:szCs w:val="18"/>
              </w:rPr>
              <w:t>30分</w:t>
            </w:r>
          </w:p>
        </w:tc>
        <w:tc>
          <w:tcPr>
            <w:tcW w:w="4500" w:type="dxa"/>
            <w:gridSpan w:val="3"/>
            <w:noWrap w:val="0"/>
            <w:vAlign w:val="top"/>
          </w:tcPr>
          <w:p>
            <w:pPr>
              <w:numPr>
                <w:ilvl w:val="0"/>
                <w:numId w:val="1"/>
              </w:num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學校長遠發展的洞察力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5</w:t>
            </w:r>
            <w:r>
              <w:rPr>
                <w:rFonts w:hint="eastAsia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及時調整不必要的宣傳策劃</w:t>
            </w: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4500" w:type="dxa"/>
            <w:gridSpan w:val="3"/>
            <w:noWrap w:val="0"/>
            <w:vAlign w:val="top"/>
          </w:tcPr>
          <w:p>
            <w:pPr>
              <w:numPr>
                <w:ilvl w:val="0"/>
                <w:numId w:val="1"/>
              </w:num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成本控制能力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降低成本</w:t>
            </w: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4500" w:type="dxa"/>
            <w:gridSpan w:val="3"/>
            <w:noWrap w:val="0"/>
            <w:vAlign w:val="top"/>
          </w:tcPr>
          <w:p>
            <w:pPr>
              <w:numPr>
                <w:ilvl w:val="0"/>
                <w:numId w:val="1"/>
              </w:num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部門協調能力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5</w:t>
            </w:r>
            <w:r>
              <w:rPr>
                <w:rFonts w:hint="eastAsia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協調配合其他部門共同工作</w:t>
            </w: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4500" w:type="dxa"/>
            <w:gridSpan w:val="3"/>
            <w:noWrap w:val="0"/>
            <w:vAlign w:val="top"/>
          </w:tcPr>
          <w:p>
            <w:pPr>
              <w:numPr>
                <w:ilvl w:val="0"/>
                <w:numId w:val="1"/>
              </w:num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處理新聞突發事件的能力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5</w:t>
            </w:r>
            <w:r>
              <w:rPr>
                <w:rFonts w:hint="eastAsia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應變力強，反應迅速</w:t>
            </w: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4500" w:type="dxa"/>
            <w:gridSpan w:val="3"/>
            <w:noWrap w:val="0"/>
            <w:vAlign w:val="top"/>
          </w:tcPr>
          <w:p>
            <w:pPr>
              <w:numPr>
                <w:ilvl w:val="0"/>
                <w:numId w:val="1"/>
              </w:num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對競爭對手的制約能力</w:t>
            </w: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5</w:t>
            </w:r>
            <w:r>
              <w:rPr>
                <w:rFonts w:hint="eastAsia"/>
              </w:rPr>
              <w:t>分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提升自身品牌 遏制不正當競爭</w:t>
            </w: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合計: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分</w:t>
      </w:r>
    </w:p>
    <w:p>
      <w:pPr>
        <w:rPr>
          <w:rFonts w:hint="eastAsia"/>
        </w:rPr>
      </w:pPr>
      <w:r>
        <w:rPr>
          <w:rFonts w:hint="eastAsia"/>
        </w:rPr>
        <w:t>備註:上表的總分值為100分,請相關填表人務必認真填寫</w:t>
      </w:r>
    </w:p>
    <w:p>
      <w:pPr>
        <w:rPr>
          <w:rFonts w:hint="eastAsia"/>
        </w:rPr>
      </w:pPr>
      <w:r>
        <w:rPr>
          <w:rFonts w:hint="eastAsia"/>
        </w:rPr>
        <w:t>其他需說明內容可填寫在下放空白處</w:t>
      </w:r>
    </w:p>
    <w:p>
      <w:pPr>
        <w:rPr>
          <w:rFonts w:hint="eastAsia"/>
        </w:rPr>
      </w:pPr>
      <w:r>
        <w:rPr>
          <w:rFonts w:hint="eastAsia"/>
        </w:rPr>
        <w:t>填表人: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 xml:space="preserve">            時間:</w:t>
      </w:r>
      <w:r>
        <w:rPr>
          <w:rFonts w:hint="eastAsia"/>
          <w:u w:val="single"/>
        </w:rPr>
        <w:t xml:space="preserve">         </w:t>
      </w:r>
    </w:p>
    <w:p>
      <w:pPr>
        <w:spacing w:line="480" w:lineRule="auto"/>
        <w:ind w:left="780"/>
        <w:rPr>
          <w:b/>
          <w:szCs w:val="21"/>
        </w:rPr>
        <w:sectPr>
          <w:pgSz w:w="11906" w:h="16838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46105"/>
    <w:multiLevelType w:val="multilevel"/>
    <w:tmpl w:val="47346105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25E98"/>
    <w:rsid w:val="08E2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2019-09-09T09:05:00Z</dcterms:created>
  <dc:creator>簡報雲PPT</dc:creator>
  <cp:lastModifiedBy>簡報雲PPT</cp:lastModifiedBy>
  <dcterms:modified xsi:type="dcterms:W3CDTF">2019-09-09T09:05:44Z</dcterms:modified>
  <cp:revision>1</cp:revision>
</cp:coreProperties>
</file>